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EE" w:rsidRDefault="00B818EE" w:rsidP="00B818EE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GOVERNMENT OF INDIA</w:t>
      </w:r>
    </w:p>
    <w:p w:rsidR="00B818EE" w:rsidRDefault="00B818EE" w:rsidP="00B818EE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MINISTRY OF FINANCE</w:t>
      </w:r>
    </w:p>
    <w:p w:rsidR="00B818EE" w:rsidRDefault="00B818EE" w:rsidP="00B818EE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DEPARTMENT OF FINANCIAL SERVICES</w:t>
      </w:r>
    </w:p>
    <w:p w:rsidR="00B818EE" w:rsidRPr="00E83383" w:rsidRDefault="00B818EE" w:rsidP="00B818EE">
      <w:pPr>
        <w:pStyle w:val="Title"/>
        <w:spacing w:line="276" w:lineRule="auto"/>
        <w:rPr>
          <w:rFonts w:ascii="Garamond" w:hAnsi="Garamond" w:cs="Times New Roman"/>
          <w:b/>
          <w:bCs/>
          <w:sz w:val="26"/>
          <w:szCs w:val="26"/>
        </w:rPr>
      </w:pPr>
      <w:r w:rsidRPr="00E83383">
        <w:rPr>
          <w:rFonts w:ascii="Garamond" w:hAnsi="Garamond" w:cs="Times New Roman"/>
          <w:b/>
          <w:bCs/>
          <w:sz w:val="26"/>
          <w:szCs w:val="26"/>
        </w:rPr>
        <w:t>RAJYA SABHA</w:t>
      </w:r>
    </w:p>
    <w:p w:rsidR="00B818EE" w:rsidRPr="00E83383" w:rsidRDefault="00B818EE" w:rsidP="00B818EE">
      <w:pPr>
        <w:pStyle w:val="Heading2"/>
        <w:spacing w:line="276" w:lineRule="auto"/>
        <w:rPr>
          <w:rFonts w:ascii="Garamond" w:hAnsi="Garamond" w:cs="Arial"/>
          <w:sz w:val="26"/>
          <w:szCs w:val="26"/>
        </w:rPr>
      </w:pPr>
      <w:proofErr w:type="gramStart"/>
      <w:r w:rsidRPr="00E83383">
        <w:rPr>
          <w:rFonts w:ascii="Garamond" w:hAnsi="Garamond" w:cs="Times New Roman"/>
          <w:sz w:val="26"/>
          <w:szCs w:val="26"/>
        </w:rPr>
        <w:t>UNSTARRED QUESTION NO.</w:t>
      </w:r>
      <w:proofErr w:type="gramEnd"/>
      <w:r w:rsidRPr="00E83383">
        <w:rPr>
          <w:rFonts w:ascii="Garamond" w:hAnsi="Garamond" w:cs="Times New Roman"/>
          <w:sz w:val="26"/>
          <w:szCs w:val="26"/>
        </w:rPr>
        <w:t xml:space="preserve"> 68</w:t>
      </w:r>
    </w:p>
    <w:p w:rsidR="00B818EE" w:rsidRPr="00E83383" w:rsidRDefault="00B818EE" w:rsidP="00B818EE">
      <w:pPr>
        <w:pStyle w:val="Heading2"/>
        <w:spacing w:line="276" w:lineRule="auto"/>
        <w:ind w:left="-567" w:right="-472"/>
        <w:rPr>
          <w:rFonts w:ascii="Garamond" w:hAnsi="Garamond" w:cs="Times New Roman"/>
          <w:sz w:val="26"/>
          <w:szCs w:val="26"/>
        </w:rPr>
      </w:pPr>
      <w:r w:rsidRPr="00E83383">
        <w:rPr>
          <w:rFonts w:ascii="Garamond" w:hAnsi="Garamond" w:cs="Times New Roman"/>
          <w:sz w:val="26"/>
          <w:szCs w:val="26"/>
        </w:rPr>
        <w:t>TO BE ANSWERED ON THE 11</w:t>
      </w:r>
      <w:r w:rsidRPr="00E83383">
        <w:rPr>
          <w:rFonts w:ascii="Garamond" w:hAnsi="Garamond" w:cs="Times New Roman"/>
          <w:sz w:val="26"/>
          <w:szCs w:val="26"/>
          <w:vertAlign w:val="superscript"/>
        </w:rPr>
        <w:t>TH</w:t>
      </w:r>
      <w:r w:rsidRPr="00E83383">
        <w:rPr>
          <w:rFonts w:ascii="Garamond" w:hAnsi="Garamond" w:cs="Times New Roman"/>
          <w:sz w:val="26"/>
          <w:szCs w:val="26"/>
        </w:rPr>
        <w:t xml:space="preserve"> DECEMBER 2018/ AGRAHAYANA 20, 1940 (SAKA) </w:t>
      </w:r>
    </w:p>
    <w:p w:rsidR="00B818EE" w:rsidRDefault="00B818EE" w:rsidP="00B818EE">
      <w:pPr>
        <w:pStyle w:val="BodyTextIndent"/>
        <w:tabs>
          <w:tab w:val="left" w:pos="1418"/>
          <w:tab w:val="left" w:pos="1985"/>
        </w:tabs>
        <w:spacing w:line="276" w:lineRule="auto"/>
        <w:ind w:firstLine="0"/>
        <w:jc w:val="center"/>
        <w:rPr>
          <w:rFonts w:ascii="Garamond" w:hAnsi="Garamond" w:cs="Arial"/>
          <w:b/>
          <w:bCs/>
          <w:sz w:val="26"/>
          <w:szCs w:val="26"/>
        </w:rPr>
      </w:pPr>
      <w:r w:rsidRPr="00E83383">
        <w:rPr>
          <w:rFonts w:ascii="Garamond" w:hAnsi="Garamond" w:cs="Arial"/>
          <w:b/>
          <w:sz w:val="26"/>
          <w:szCs w:val="26"/>
        </w:rPr>
        <w:t>Relaxation of norms for PSBs under PCA framework</w:t>
      </w:r>
    </w:p>
    <w:p w:rsidR="00B818EE" w:rsidRDefault="00B818EE" w:rsidP="00B818EE">
      <w:pPr>
        <w:pStyle w:val="BodyTextIndent"/>
        <w:tabs>
          <w:tab w:val="left" w:pos="1418"/>
          <w:tab w:val="left" w:pos="1985"/>
        </w:tabs>
        <w:spacing w:line="276" w:lineRule="auto"/>
        <w:ind w:firstLine="0"/>
        <w:rPr>
          <w:rFonts w:ascii="Garamond" w:hAnsi="Garamond" w:cs="Arial"/>
          <w:b/>
          <w:bCs/>
          <w:sz w:val="26"/>
          <w:szCs w:val="26"/>
        </w:rPr>
      </w:pPr>
    </w:p>
    <w:p w:rsidR="00B818EE" w:rsidRPr="00E83383" w:rsidRDefault="00B818EE" w:rsidP="00B818EE">
      <w:pPr>
        <w:pStyle w:val="BodyTextIndent"/>
        <w:tabs>
          <w:tab w:val="left" w:pos="1418"/>
          <w:tab w:val="left" w:pos="1985"/>
        </w:tabs>
        <w:spacing w:line="276" w:lineRule="auto"/>
        <w:ind w:firstLine="0"/>
        <w:rPr>
          <w:rFonts w:ascii="Garamond" w:hAnsi="Garamond" w:cs="Arial"/>
          <w:b/>
          <w:bCs/>
          <w:sz w:val="26"/>
          <w:szCs w:val="26"/>
        </w:rPr>
      </w:pPr>
      <w:r w:rsidRPr="00E83383">
        <w:rPr>
          <w:rFonts w:ascii="Garamond" w:hAnsi="Garamond" w:cs="Arial"/>
          <w:b/>
          <w:bCs/>
          <w:sz w:val="26"/>
          <w:szCs w:val="26"/>
        </w:rPr>
        <w:t xml:space="preserve">68. </w:t>
      </w:r>
      <w:r w:rsidRPr="00E83383">
        <w:rPr>
          <w:rFonts w:ascii="Garamond" w:hAnsi="Garamond"/>
          <w:b/>
          <w:sz w:val="26"/>
          <w:szCs w:val="26"/>
        </w:rPr>
        <w:t>SHRI SANJAY SINGH:</w:t>
      </w:r>
    </w:p>
    <w:p w:rsidR="00B818EE" w:rsidRPr="00E83383" w:rsidRDefault="00B818EE" w:rsidP="00B818EE">
      <w:pPr>
        <w:pStyle w:val="BodyTextIndent"/>
        <w:tabs>
          <w:tab w:val="center" w:pos="2231"/>
        </w:tabs>
        <w:spacing w:line="276" w:lineRule="auto"/>
        <w:ind w:firstLine="0"/>
        <w:rPr>
          <w:rFonts w:ascii="Garamond" w:hAnsi="Garamond" w:cs="Arial"/>
          <w:sz w:val="26"/>
          <w:szCs w:val="26"/>
        </w:rPr>
      </w:pPr>
      <w:r w:rsidRPr="00E83383">
        <w:rPr>
          <w:rFonts w:ascii="Garamond" w:hAnsi="Garamond" w:cs="Arial"/>
          <w:sz w:val="26"/>
          <w:szCs w:val="26"/>
        </w:rPr>
        <w:tab/>
      </w:r>
    </w:p>
    <w:p w:rsidR="00B818EE" w:rsidRPr="00E83383" w:rsidRDefault="00B818EE" w:rsidP="00B818EE">
      <w:pPr>
        <w:pStyle w:val="BodyTextIndent"/>
        <w:tabs>
          <w:tab w:val="left" w:pos="1418"/>
          <w:tab w:val="left" w:pos="1985"/>
        </w:tabs>
        <w:spacing w:line="276" w:lineRule="auto"/>
        <w:ind w:left="33" w:firstLine="0"/>
        <w:rPr>
          <w:rFonts w:ascii="Garamond" w:hAnsi="Garamond" w:cs="Arial"/>
          <w:sz w:val="26"/>
          <w:szCs w:val="26"/>
        </w:rPr>
      </w:pPr>
      <w:r w:rsidRPr="00E83383">
        <w:rPr>
          <w:rFonts w:ascii="Garamond" w:hAnsi="Garamond" w:cs="Arial"/>
          <w:sz w:val="26"/>
          <w:szCs w:val="26"/>
        </w:rPr>
        <w:t xml:space="preserve">Will the Minister of FINANCE be pleased to </w:t>
      </w:r>
      <w:proofErr w:type="gramStart"/>
      <w:r w:rsidRPr="00E83383">
        <w:rPr>
          <w:rFonts w:ascii="Garamond" w:hAnsi="Garamond" w:cs="Arial"/>
          <w:sz w:val="26"/>
          <w:szCs w:val="26"/>
        </w:rPr>
        <w:t>state:</w:t>
      </w:r>
      <w:proofErr w:type="gramEnd"/>
    </w:p>
    <w:p w:rsidR="00B818EE" w:rsidRPr="00E83383" w:rsidRDefault="00B818EE" w:rsidP="00B818EE">
      <w:pPr>
        <w:pStyle w:val="BodyTextIndent"/>
        <w:tabs>
          <w:tab w:val="left" w:pos="601"/>
        </w:tabs>
        <w:spacing w:line="276" w:lineRule="auto"/>
        <w:ind w:left="33" w:firstLine="0"/>
        <w:rPr>
          <w:rFonts w:ascii="Garamond" w:hAnsi="Garamond" w:cs="Arial"/>
          <w:sz w:val="26"/>
          <w:szCs w:val="26"/>
        </w:rPr>
      </w:pPr>
    </w:p>
    <w:p w:rsidR="00B818EE" w:rsidRPr="00E83383" w:rsidRDefault="00B818EE" w:rsidP="00BA74CF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0"/>
        <w:jc w:val="both"/>
        <w:rPr>
          <w:rFonts w:ascii="Garamond" w:hAnsi="Garamond"/>
          <w:sz w:val="26"/>
          <w:szCs w:val="26"/>
          <w:lang w:val="en-US"/>
        </w:rPr>
      </w:pPr>
      <w:r w:rsidRPr="00E83383">
        <w:rPr>
          <w:rFonts w:ascii="Garamond" w:hAnsi="Garamond"/>
          <w:sz w:val="26"/>
          <w:szCs w:val="26"/>
          <w:lang w:val="en-US"/>
        </w:rPr>
        <w:t xml:space="preserve">whether </w:t>
      </w:r>
      <w:r w:rsidRPr="00E83383">
        <w:rPr>
          <w:rFonts w:ascii="Garamond" w:hAnsi="Garamond"/>
          <w:sz w:val="26"/>
          <w:szCs w:val="26"/>
        </w:rPr>
        <w:t>it is a fact that a board meeting between Government and RBI officials was held on 19th November, 2018;</w:t>
      </w:r>
    </w:p>
    <w:p w:rsidR="00B818EE" w:rsidRPr="00BA74CF" w:rsidRDefault="00B818EE" w:rsidP="00BA74CF">
      <w:pPr>
        <w:pStyle w:val="ListParagraph"/>
        <w:tabs>
          <w:tab w:val="left" w:pos="993"/>
        </w:tabs>
        <w:spacing w:after="0"/>
        <w:ind w:left="426"/>
        <w:jc w:val="both"/>
        <w:rPr>
          <w:rFonts w:ascii="Garamond" w:hAnsi="Garamond"/>
          <w:sz w:val="14"/>
          <w:szCs w:val="26"/>
          <w:lang w:val="en-US"/>
        </w:rPr>
      </w:pPr>
    </w:p>
    <w:p w:rsidR="00B818EE" w:rsidRPr="00E83383" w:rsidRDefault="00B818EE" w:rsidP="00BA74CF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0"/>
        <w:jc w:val="both"/>
        <w:rPr>
          <w:rFonts w:ascii="Garamond" w:hAnsi="Garamond"/>
          <w:sz w:val="26"/>
          <w:szCs w:val="26"/>
          <w:lang w:val="en-US"/>
        </w:rPr>
      </w:pPr>
      <w:r w:rsidRPr="00E83383">
        <w:rPr>
          <w:rFonts w:ascii="Garamond" w:hAnsi="Garamond"/>
          <w:sz w:val="26"/>
          <w:szCs w:val="26"/>
        </w:rPr>
        <w:t xml:space="preserve">whether it is also a fact that the decision to relax some of the norms for Public Sector Banks (PSBs) under Prompt Corrective Action (PCA) framework has been taken to allow credit flow in market; </w:t>
      </w:r>
    </w:p>
    <w:p w:rsidR="00B818EE" w:rsidRPr="00BA74CF" w:rsidRDefault="00B818EE" w:rsidP="00BA74CF">
      <w:pPr>
        <w:pStyle w:val="ListParagraph"/>
        <w:tabs>
          <w:tab w:val="left" w:pos="993"/>
        </w:tabs>
        <w:ind w:left="426"/>
        <w:rPr>
          <w:rFonts w:ascii="Garamond" w:hAnsi="Garamond"/>
          <w:sz w:val="14"/>
          <w:szCs w:val="26"/>
          <w:lang w:val="en-US"/>
        </w:rPr>
      </w:pPr>
    </w:p>
    <w:p w:rsidR="00B818EE" w:rsidRPr="00E83383" w:rsidRDefault="00B818EE" w:rsidP="00BA74CF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0"/>
        <w:jc w:val="both"/>
        <w:rPr>
          <w:rFonts w:ascii="Garamond" w:hAnsi="Garamond"/>
          <w:sz w:val="26"/>
          <w:szCs w:val="26"/>
          <w:lang w:val="en-US"/>
        </w:rPr>
      </w:pPr>
      <w:r w:rsidRPr="00E83383">
        <w:rPr>
          <w:rFonts w:ascii="Garamond" w:hAnsi="Garamond"/>
          <w:sz w:val="26"/>
          <w:szCs w:val="26"/>
          <w:lang w:val="en-US"/>
        </w:rPr>
        <w:t xml:space="preserve"> </w:t>
      </w:r>
      <w:r w:rsidRPr="00E83383">
        <w:rPr>
          <w:rFonts w:ascii="Garamond" w:hAnsi="Garamond"/>
          <w:sz w:val="26"/>
          <w:szCs w:val="26"/>
        </w:rPr>
        <w:t xml:space="preserve">if so, justification behind such a move considering weak PSBs which still do not have access to significant amount of capital; and </w:t>
      </w:r>
    </w:p>
    <w:p w:rsidR="00B818EE" w:rsidRPr="00BA74CF" w:rsidRDefault="00B818EE" w:rsidP="00BA74CF">
      <w:pPr>
        <w:pStyle w:val="ListParagraph"/>
        <w:tabs>
          <w:tab w:val="left" w:pos="993"/>
        </w:tabs>
        <w:ind w:left="426"/>
        <w:rPr>
          <w:rFonts w:ascii="Garamond" w:hAnsi="Garamond"/>
          <w:sz w:val="14"/>
          <w:szCs w:val="26"/>
        </w:rPr>
      </w:pPr>
    </w:p>
    <w:p w:rsidR="00B818EE" w:rsidRPr="00E83383" w:rsidRDefault="00B818EE" w:rsidP="00BA74CF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0"/>
        <w:jc w:val="both"/>
        <w:rPr>
          <w:rFonts w:ascii="Garamond" w:hAnsi="Garamond"/>
          <w:sz w:val="26"/>
          <w:szCs w:val="26"/>
          <w:lang w:val="en-US"/>
        </w:rPr>
      </w:pPr>
      <w:proofErr w:type="gramStart"/>
      <w:r w:rsidRPr="00E83383">
        <w:rPr>
          <w:rFonts w:ascii="Garamond" w:hAnsi="Garamond"/>
          <w:sz w:val="26"/>
          <w:szCs w:val="26"/>
        </w:rPr>
        <w:t>which</w:t>
      </w:r>
      <w:proofErr w:type="gramEnd"/>
      <w:r w:rsidRPr="00E83383">
        <w:rPr>
          <w:rFonts w:ascii="Garamond" w:hAnsi="Garamond"/>
          <w:sz w:val="26"/>
          <w:szCs w:val="26"/>
        </w:rPr>
        <w:t xml:space="preserve"> of these banks have yet complied to 11.5 per cent current adequacy ratio and what steps have been taken to ensure the compliance of all 11 Banks under PCA framework?</w:t>
      </w:r>
    </w:p>
    <w:p w:rsidR="00B818EE" w:rsidRDefault="00B818EE" w:rsidP="00B818EE">
      <w:pPr>
        <w:pStyle w:val="ListParagraph"/>
        <w:tabs>
          <w:tab w:val="left" w:pos="601"/>
        </w:tabs>
        <w:spacing w:after="0" w:line="276" w:lineRule="auto"/>
        <w:ind w:left="33"/>
        <w:jc w:val="both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 xml:space="preserve">  </w:t>
      </w:r>
    </w:p>
    <w:p w:rsidR="00B818EE" w:rsidRDefault="00B818EE" w:rsidP="00B818EE">
      <w:pPr>
        <w:pStyle w:val="ListParagraph"/>
        <w:spacing w:after="0" w:line="276" w:lineRule="auto"/>
        <w:ind w:left="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>ANSWER</w:t>
      </w:r>
    </w:p>
    <w:p w:rsidR="00B818EE" w:rsidRDefault="00B818EE" w:rsidP="00B818EE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Minister of State in the Ministry of Finance</w:t>
      </w:r>
    </w:p>
    <w:p w:rsidR="00B818EE" w:rsidRDefault="00B818EE" w:rsidP="00B818EE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(SHRI SHIV PRATAP SHUKLA)</w:t>
      </w:r>
    </w:p>
    <w:p w:rsidR="00B818EE" w:rsidRPr="00BA74CF" w:rsidRDefault="00B818EE" w:rsidP="00B818EE">
      <w:pPr>
        <w:pStyle w:val="ListParagraph"/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</w:p>
    <w:p w:rsidR="00B818EE" w:rsidRPr="00E83383" w:rsidRDefault="00B818EE" w:rsidP="00B818EE">
      <w:pPr>
        <w:jc w:val="both"/>
        <w:rPr>
          <w:rFonts w:ascii="Garamond" w:hAnsi="Garamond" w:cs="Arial"/>
          <w:sz w:val="26"/>
          <w:szCs w:val="26"/>
        </w:rPr>
      </w:pPr>
      <w:r w:rsidRPr="00E83383">
        <w:rPr>
          <w:rFonts w:ascii="Garamond" w:hAnsi="Garamond"/>
          <w:sz w:val="26"/>
          <w:szCs w:val="26"/>
        </w:rPr>
        <w:t xml:space="preserve">(a) to (d):  As per input received from </w:t>
      </w:r>
      <w:r w:rsidRPr="00E83383">
        <w:rPr>
          <w:rFonts w:ascii="Garamond" w:hAnsi="Garamond" w:cs="Arial"/>
          <w:sz w:val="26"/>
          <w:szCs w:val="26"/>
        </w:rPr>
        <w:t>Reserve Bank of India (RBI),</w:t>
      </w:r>
      <w:r>
        <w:rPr>
          <w:rFonts w:ascii="Garamond" w:hAnsi="Garamond" w:cs="Arial"/>
          <w:sz w:val="26"/>
          <w:szCs w:val="26"/>
        </w:rPr>
        <w:t xml:space="preserve"> </w:t>
      </w:r>
      <w:r w:rsidRPr="00E83383">
        <w:rPr>
          <w:rFonts w:ascii="Garamond" w:hAnsi="Garamond" w:cs="Arial"/>
          <w:sz w:val="26"/>
          <w:szCs w:val="26"/>
        </w:rPr>
        <w:t>its Central Board met on November 19, 2018</w:t>
      </w:r>
      <w:r>
        <w:rPr>
          <w:rFonts w:ascii="Garamond" w:hAnsi="Garamond" w:cs="Arial"/>
          <w:sz w:val="26"/>
          <w:szCs w:val="26"/>
        </w:rPr>
        <w:t xml:space="preserve"> and </w:t>
      </w:r>
      <w:r w:rsidRPr="00E83383">
        <w:rPr>
          <w:rFonts w:ascii="Garamond" w:hAnsi="Garamond" w:cs="Arial"/>
          <w:sz w:val="26"/>
          <w:szCs w:val="26"/>
        </w:rPr>
        <w:t>agreed to extend the transition period for implementing the last tranche of 0.625% under the Ca</w:t>
      </w:r>
      <w:r>
        <w:rPr>
          <w:rFonts w:ascii="Garamond" w:hAnsi="Garamond" w:cs="Arial"/>
          <w:sz w:val="26"/>
          <w:szCs w:val="26"/>
        </w:rPr>
        <w:t>pital Conservation Buffer (CCB)</w:t>
      </w:r>
      <w:r w:rsidRPr="00E83383">
        <w:rPr>
          <w:rFonts w:ascii="Garamond" w:hAnsi="Garamond" w:cs="Arial"/>
          <w:sz w:val="26"/>
          <w:szCs w:val="26"/>
        </w:rPr>
        <w:t xml:space="preserve"> by one year, </w:t>
      </w:r>
      <w:r w:rsidRPr="00D702CE">
        <w:rPr>
          <w:rFonts w:ascii="Garamond" w:hAnsi="Garamond" w:cs="Arial"/>
          <w:i/>
          <w:iCs/>
          <w:sz w:val="26"/>
          <w:szCs w:val="26"/>
        </w:rPr>
        <w:t>i.e.,</w:t>
      </w:r>
      <w:r w:rsidRPr="00E83383">
        <w:rPr>
          <w:rFonts w:ascii="Garamond" w:hAnsi="Garamond" w:cs="Arial"/>
          <w:sz w:val="26"/>
          <w:szCs w:val="26"/>
        </w:rPr>
        <w:t xml:space="preserve"> up to March 31, 2020. With regard to banks under PCA, it was decided that the matter will be exam</w:t>
      </w:r>
      <w:r>
        <w:rPr>
          <w:rFonts w:ascii="Garamond" w:hAnsi="Garamond" w:cs="Arial"/>
          <w:sz w:val="26"/>
          <w:szCs w:val="26"/>
        </w:rPr>
        <w:t xml:space="preserve">ined by RBI’s </w:t>
      </w:r>
      <w:r w:rsidRPr="00E83383">
        <w:rPr>
          <w:rFonts w:ascii="Garamond" w:hAnsi="Garamond" w:cs="Arial"/>
          <w:sz w:val="26"/>
          <w:szCs w:val="26"/>
        </w:rPr>
        <w:t xml:space="preserve">Board </w:t>
      </w:r>
      <w:r>
        <w:rPr>
          <w:rFonts w:ascii="Garamond" w:hAnsi="Garamond" w:cs="Arial"/>
          <w:sz w:val="26"/>
          <w:szCs w:val="26"/>
        </w:rPr>
        <w:t>for Financial Supervision (BFS).</w:t>
      </w:r>
    </w:p>
    <w:p w:rsidR="00B818EE" w:rsidRDefault="00B818EE" w:rsidP="00B818EE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RBI has informed that </w:t>
      </w:r>
      <w:r w:rsidRPr="00E83383">
        <w:rPr>
          <w:rFonts w:ascii="Garamond" w:hAnsi="Garamond" w:cs="Arial"/>
          <w:sz w:val="26"/>
          <w:szCs w:val="26"/>
        </w:rPr>
        <w:t xml:space="preserve">banks </w:t>
      </w:r>
      <w:r>
        <w:rPr>
          <w:rFonts w:ascii="Garamond" w:hAnsi="Garamond" w:cs="Arial"/>
          <w:sz w:val="26"/>
          <w:szCs w:val="26"/>
        </w:rPr>
        <w:t xml:space="preserve">placed </w:t>
      </w:r>
      <w:r w:rsidRPr="00E83383">
        <w:rPr>
          <w:rFonts w:ascii="Garamond" w:hAnsi="Garamond" w:cs="Arial"/>
          <w:sz w:val="26"/>
          <w:szCs w:val="26"/>
        </w:rPr>
        <w:t>under</w:t>
      </w:r>
      <w:r>
        <w:rPr>
          <w:rFonts w:ascii="Garamond" w:hAnsi="Garamond" w:cs="Arial"/>
          <w:sz w:val="26"/>
          <w:szCs w:val="26"/>
        </w:rPr>
        <w:t xml:space="preserve"> the</w:t>
      </w:r>
      <w:r w:rsidRPr="00E83383">
        <w:rPr>
          <w:rFonts w:ascii="Garamond" w:hAnsi="Garamond" w:cs="Arial"/>
          <w:sz w:val="26"/>
          <w:szCs w:val="26"/>
        </w:rPr>
        <w:t xml:space="preserve"> PCA</w:t>
      </w:r>
      <w:r>
        <w:rPr>
          <w:rFonts w:ascii="Garamond" w:hAnsi="Garamond" w:cs="Arial"/>
          <w:sz w:val="26"/>
          <w:szCs w:val="26"/>
        </w:rPr>
        <w:t xml:space="preserve"> framework</w:t>
      </w:r>
      <w:r w:rsidRPr="00E83383">
        <w:rPr>
          <w:rFonts w:ascii="Garamond" w:hAnsi="Garamond" w:cs="Arial"/>
          <w:sz w:val="26"/>
          <w:szCs w:val="26"/>
        </w:rPr>
        <w:t xml:space="preserve"> are monitored closely and their performance reviewed on quarterly basis.</w:t>
      </w:r>
      <w:r>
        <w:rPr>
          <w:rFonts w:ascii="Garamond" w:hAnsi="Garamond" w:cs="Arial"/>
          <w:sz w:val="26"/>
          <w:szCs w:val="26"/>
        </w:rPr>
        <w:t xml:space="preserve"> </w:t>
      </w:r>
      <w:r w:rsidRPr="00E83383">
        <w:rPr>
          <w:rFonts w:ascii="Garamond" w:hAnsi="Garamond" w:cs="Arial"/>
          <w:sz w:val="26"/>
          <w:szCs w:val="26"/>
        </w:rPr>
        <w:t xml:space="preserve">The Capital </w:t>
      </w:r>
      <w:r>
        <w:rPr>
          <w:rFonts w:ascii="Garamond" w:hAnsi="Garamond" w:cs="Arial"/>
          <w:sz w:val="26"/>
          <w:szCs w:val="26"/>
        </w:rPr>
        <w:t xml:space="preserve">to Risk-weighted Assets Ratios (CRAR) of 11 PSBs </w:t>
      </w:r>
      <w:r w:rsidRPr="00E83383">
        <w:rPr>
          <w:rFonts w:ascii="Garamond" w:hAnsi="Garamond" w:cs="Arial"/>
          <w:sz w:val="26"/>
          <w:szCs w:val="26"/>
        </w:rPr>
        <w:t xml:space="preserve">at the end of </w:t>
      </w:r>
      <w:r>
        <w:rPr>
          <w:rFonts w:ascii="Garamond" w:hAnsi="Garamond" w:cs="Arial"/>
          <w:sz w:val="26"/>
          <w:szCs w:val="26"/>
        </w:rPr>
        <w:t>financial year</w:t>
      </w:r>
      <w:r w:rsidRPr="00E83383">
        <w:rPr>
          <w:rFonts w:ascii="Garamond" w:hAnsi="Garamond" w:cs="Arial"/>
          <w:sz w:val="26"/>
          <w:szCs w:val="26"/>
        </w:rPr>
        <w:t xml:space="preserve"> 2017-18 </w:t>
      </w:r>
      <w:r>
        <w:rPr>
          <w:rFonts w:ascii="Garamond" w:hAnsi="Garamond" w:cs="Arial"/>
          <w:sz w:val="26"/>
          <w:szCs w:val="26"/>
        </w:rPr>
        <w:t xml:space="preserve">are at </w:t>
      </w:r>
      <w:r w:rsidRPr="00E83383">
        <w:rPr>
          <w:rFonts w:ascii="Garamond" w:hAnsi="Garamond" w:cs="Arial"/>
          <w:sz w:val="26"/>
          <w:szCs w:val="26"/>
        </w:rPr>
        <w:t>Annexure.</w:t>
      </w:r>
      <w:r>
        <w:rPr>
          <w:rFonts w:ascii="Garamond" w:hAnsi="Garamond" w:cs="Arial"/>
          <w:sz w:val="26"/>
          <w:szCs w:val="26"/>
        </w:rPr>
        <w:t xml:space="preserve"> </w:t>
      </w:r>
    </w:p>
    <w:p w:rsidR="00B818EE" w:rsidRDefault="00B818EE" w:rsidP="00B818EE">
      <w:pPr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***</w:t>
      </w:r>
    </w:p>
    <w:p w:rsidR="00B818EE" w:rsidRDefault="00B818EE">
      <w:pPr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</w:pPr>
      <w:r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br w:type="page"/>
      </w:r>
    </w:p>
    <w:p w:rsidR="00B818EE" w:rsidRPr="00E83383" w:rsidRDefault="00B818EE" w:rsidP="00B818EE">
      <w:pPr>
        <w:ind w:left="6480" w:firstLine="720"/>
        <w:jc w:val="right"/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</w:pPr>
      <w:r w:rsidRPr="00E83383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lastRenderedPageBreak/>
        <w:t>Annexure</w:t>
      </w:r>
    </w:p>
    <w:p w:rsidR="00B818EE" w:rsidRDefault="00B818EE" w:rsidP="00B818EE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</w:pPr>
      <w:proofErr w:type="spellStart"/>
      <w:r w:rsidRPr="00B82D5A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>Rajya</w:t>
      </w:r>
      <w:proofErr w:type="spellEnd"/>
      <w:r w:rsidRPr="00B82D5A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 xml:space="preserve"> </w:t>
      </w:r>
      <w:proofErr w:type="spellStart"/>
      <w:r w:rsidRPr="00B82D5A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>Sabha</w:t>
      </w:r>
      <w:proofErr w:type="spellEnd"/>
      <w:r w:rsidRPr="00B82D5A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 xml:space="preserve"> USQ No.</w:t>
      </w:r>
      <w:r w:rsidRPr="00E83383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 xml:space="preserve"> 68</w:t>
      </w:r>
      <w:r w:rsidRPr="00B82D5A">
        <w:rPr>
          <w:rFonts w:ascii="Garamond" w:eastAsia="Times New Roman" w:hAnsi="Garamond" w:cs="Garamond"/>
          <w:b/>
          <w:bCs/>
          <w:color w:val="000000"/>
          <w:sz w:val="26"/>
          <w:szCs w:val="26"/>
          <w:lang w:val="en-US" w:eastAsia="en-US" w:bidi="hi-IN"/>
        </w:rPr>
        <w:t xml:space="preserve"> regarding</w:t>
      </w:r>
      <w:r w:rsidRPr="00B82D5A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 xml:space="preserve"> "</w:t>
      </w:r>
      <w:r w:rsidRPr="00E83383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 xml:space="preserve">Relaxation of Norms for </w:t>
      </w:r>
      <w:r w:rsidRPr="00B82D5A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>PSBs</w:t>
      </w:r>
      <w:r w:rsidRPr="00E83383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 xml:space="preserve"> under PCA framework</w:t>
      </w:r>
      <w:r w:rsidRPr="00B82D5A"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>"</w:t>
      </w:r>
      <w:r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 xml:space="preserve"> </w:t>
      </w:r>
    </w:p>
    <w:p w:rsidR="00B818EE" w:rsidRDefault="00B818EE" w:rsidP="00B818EE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</w:pPr>
    </w:p>
    <w:p w:rsidR="00B818EE" w:rsidRDefault="00B818EE" w:rsidP="00B818E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</w:pPr>
      <w:r>
        <w:rPr>
          <w:rFonts w:ascii="Garamond" w:eastAsia="Times New Roman" w:hAnsi="Garamond" w:cs="Calibri"/>
          <w:b/>
          <w:bCs/>
          <w:color w:val="000000"/>
          <w:sz w:val="26"/>
          <w:szCs w:val="26"/>
          <w:lang w:val="en-US" w:eastAsia="en-US" w:bidi="hi-IN"/>
        </w:rPr>
        <w:t>Capital to Risk Weighted Assets Ratios (CRAR) of PSBs placed under the PCA framework, as on 31.3.2018</w:t>
      </w:r>
    </w:p>
    <w:tbl>
      <w:tblPr>
        <w:tblW w:w="4646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0"/>
        <w:gridCol w:w="1346"/>
      </w:tblGrid>
      <w:tr w:rsidR="00B818EE" w:rsidRPr="00B82D5A" w:rsidTr="00B818EE">
        <w:trPr>
          <w:gridAfter w:val="1"/>
          <w:wAfter w:w="1346" w:type="dxa"/>
          <w:trHeight w:val="293"/>
        </w:trPr>
        <w:tc>
          <w:tcPr>
            <w:tcW w:w="3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</w:p>
        </w:tc>
      </w:tr>
      <w:tr w:rsidR="00B818EE" w:rsidRPr="00B82D5A" w:rsidTr="00B818EE">
        <w:trPr>
          <w:trHeight w:val="397"/>
        </w:trPr>
        <w:tc>
          <w:tcPr>
            <w:tcW w:w="3300" w:type="dxa"/>
            <w:shd w:val="clear" w:color="auto" w:fill="auto"/>
            <w:vAlign w:val="center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Bank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s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CRAR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Allah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a</w:t>
            </w: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bad Bank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 xml:space="preserve"> </w:t>
            </w: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8.68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%*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Bank of India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12.94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Bank of Maharashtra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11.00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 xml:space="preserve">Central 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B</w:t>
            </w: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ank of India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9.04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Corporation Bank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9.23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Dena Bank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11.09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IDBI Bank Limited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10.41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Indian Overseas Bank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9.25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  <w:tr w:rsidR="00B818EE" w:rsidRPr="00B82D5A" w:rsidTr="00B818EE">
        <w:trPr>
          <w:trHeight w:val="37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Oriental Bank of Commerce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10.50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U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CO</w:t>
            </w: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 xml:space="preserve"> Bank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10.94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  <w:tr w:rsidR="00B818EE" w:rsidRPr="00B82D5A" w:rsidTr="00B818EE">
        <w:trPr>
          <w:trHeight w:val="330"/>
        </w:trPr>
        <w:tc>
          <w:tcPr>
            <w:tcW w:w="3300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United Bank of India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B818EE" w:rsidRPr="00B82D5A" w:rsidRDefault="00B818EE" w:rsidP="009844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</w:pPr>
            <w:r w:rsidRPr="00B82D5A"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12.62</w:t>
            </w:r>
            <w:r>
              <w:rPr>
                <w:rFonts w:ascii="Garamond" w:eastAsia="Times New Roman" w:hAnsi="Garamond" w:cs="Calibri"/>
                <w:color w:val="000000"/>
                <w:sz w:val="26"/>
                <w:szCs w:val="26"/>
                <w:lang w:val="en-US" w:eastAsia="en-US" w:bidi="hi-IN"/>
              </w:rPr>
              <w:t>%</w:t>
            </w:r>
          </w:p>
        </w:tc>
      </w:tr>
    </w:tbl>
    <w:p w:rsidR="00B818EE" w:rsidRDefault="00B818EE" w:rsidP="00B818EE">
      <w:pPr>
        <w:spacing w:after="0"/>
        <w:ind w:left="-90"/>
        <w:jc w:val="both"/>
        <w:rPr>
          <w:rFonts w:ascii="Garamond" w:hAnsi="Garamond"/>
          <w:sz w:val="26"/>
          <w:szCs w:val="26"/>
        </w:rPr>
      </w:pPr>
    </w:p>
    <w:p w:rsidR="00BA74CF" w:rsidRDefault="00B818EE" w:rsidP="00BA74CF">
      <w:pPr>
        <w:spacing w:after="0"/>
        <w:ind w:left="-90"/>
        <w:jc w:val="both"/>
        <w:rPr>
          <w:rFonts w:ascii="Garamond" w:hAnsi="Garamond"/>
          <w:sz w:val="26"/>
          <w:szCs w:val="26"/>
        </w:rPr>
      </w:pPr>
      <w:r w:rsidRPr="007D785A">
        <w:rPr>
          <w:rFonts w:ascii="Garamond" w:hAnsi="Garamond"/>
          <w:sz w:val="26"/>
          <w:szCs w:val="26"/>
        </w:rPr>
        <w:t xml:space="preserve">*Bank’s capital shortfall of Rs 463 </w:t>
      </w:r>
      <w:proofErr w:type="spellStart"/>
      <w:r w:rsidRPr="007D785A">
        <w:rPr>
          <w:rFonts w:ascii="Garamond" w:hAnsi="Garamond"/>
          <w:sz w:val="26"/>
          <w:szCs w:val="26"/>
        </w:rPr>
        <w:t>crore</w:t>
      </w:r>
      <w:proofErr w:type="spellEnd"/>
      <w:r w:rsidRPr="007D785A">
        <w:rPr>
          <w:rFonts w:ascii="Garamond" w:hAnsi="Garamond"/>
          <w:sz w:val="26"/>
          <w:szCs w:val="26"/>
        </w:rPr>
        <w:t xml:space="preserve"> for complying with the regulatory minimum CRAR requirement of 9% was met through infusion of capital by the Government of India of an amount of Rs 1</w:t>
      </w:r>
      <w:r>
        <w:rPr>
          <w:rFonts w:ascii="Garamond" w:hAnsi="Garamond"/>
          <w:sz w:val="26"/>
          <w:szCs w:val="26"/>
        </w:rPr>
        <w:t>,</w:t>
      </w:r>
      <w:r w:rsidRPr="007D785A">
        <w:rPr>
          <w:rFonts w:ascii="Garamond" w:hAnsi="Garamond"/>
          <w:sz w:val="26"/>
          <w:szCs w:val="26"/>
        </w:rPr>
        <w:t xml:space="preserve">790 </w:t>
      </w:r>
      <w:proofErr w:type="spellStart"/>
      <w:r w:rsidRPr="007D785A">
        <w:rPr>
          <w:rFonts w:ascii="Garamond" w:hAnsi="Garamond"/>
          <w:sz w:val="26"/>
          <w:szCs w:val="26"/>
        </w:rPr>
        <w:t>crore</w:t>
      </w:r>
      <w:proofErr w:type="spellEnd"/>
      <w:r w:rsidRPr="007D785A">
        <w:rPr>
          <w:rFonts w:ascii="Garamond" w:hAnsi="Garamond"/>
          <w:sz w:val="26"/>
          <w:szCs w:val="26"/>
        </w:rPr>
        <w:t xml:space="preserve">, before declaration of </w:t>
      </w:r>
      <w:r>
        <w:rPr>
          <w:rFonts w:ascii="Garamond" w:hAnsi="Garamond"/>
          <w:sz w:val="26"/>
          <w:szCs w:val="26"/>
        </w:rPr>
        <w:t xml:space="preserve">the </w:t>
      </w:r>
      <w:r w:rsidRPr="007D785A">
        <w:rPr>
          <w:rFonts w:ascii="Garamond" w:hAnsi="Garamond"/>
          <w:sz w:val="26"/>
          <w:szCs w:val="26"/>
        </w:rPr>
        <w:t>first quarter results of the bank, in the current financial year.</w:t>
      </w:r>
    </w:p>
    <w:p w:rsidR="00B818EE" w:rsidRPr="00BA74CF" w:rsidRDefault="00BA74CF" w:rsidP="00BA74CF">
      <w:pPr>
        <w:ind w:left="-90"/>
        <w:jc w:val="center"/>
        <w:rPr>
          <w:rFonts w:ascii="Garamond" w:hAnsi="Garamond"/>
          <w:b/>
          <w:sz w:val="28"/>
          <w:szCs w:val="26"/>
        </w:rPr>
      </w:pPr>
      <w:r w:rsidRPr="00BA74CF">
        <w:rPr>
          <w:rFonts w:ascii="Garamond" w:hAnsi="Garamond"/>
          <w:b/>
          <w:sz w:val="28"/>
          <w:szCs w:val="26"/>
        </w:rPr>
        <w:t>***</w:t>
      </w:r>
    </w:p>
    <w:p w:rsidR="005064F5" w:rsidRDefault="005064F5" w:rsidP="00BA74CF">
      <w:pPr>
        <w:jc w:val="center"/>
      </w:pPr>
    </w:p>
    <w:sectPr w:rsidR="005064F5" w:rsidSect="00506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4781"/>
    <w:multiLevelType w:val="hybridMultilevel"/>
    <w:tmpl w:val="6CA0A864"/>
    <w:lvl w:ilvl="0" w:tplc="627C85D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1489D"/>
    <w:multiLevelType w:val="hybridMultilevel"/>
    <w:tmpl w:val="6CA0A864"/>
    <w:lvl w:ilvl="0" w:tplc="627C85DA">
      <w:start w:val="1"/>
      <w:numFmt w:val="lowerLetter"/>
      <w:lvlText w:val="(%1)"/>
      <w:lvlJc w:val="left"/>
      <w:pPr>
        <w:ind w:left="1637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8EE"/>
    <w:rsid w:val="005064F5"/>
    <w:rsid w:val="00B818EE"/>
    <w:rsid w:val="00BA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EE"/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818EE"/>
    <w:pPr>
      <w:keepNext/>
      <w:spacing w:after="0" w:line="240" w:lineRule="auto"/>
      <w:jc w:val="center"/>
      <w:outlineLvl w:val="1"/>
    </w:pPr>
    <w:rPr>
      <w:rFonts w:ascii="Arial" w:eastAsia="Times New Roman" w:hAnsi="Arial" w:cs="Century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818EE"/>
    <w:rPr>
      <w:rFonts w:ascii="Arial" w:eastAsia="Times New Roman" w:hAnsi="Arial" w:cs="Century"/>
      <w:b/>
      <w:bCs/>
      <w:lang w:val="en-US"/>
    </w:rPr>
  </w:style>
  <w:style w:type="paragraph" w:styleId="Title">
    <w:name w:val="Title"/>
    <w:basedOn w:val="Normal"/>
    <w:link w:val="TitleChar"/>
    <w:uiPriority w:val="99"/>
    <w:qFormat/>
    <w:rsid w:val="00B818EE"/>
    <w:pPr>
      <w:spacing w:after="0" w:line="240" w:lineRule="auto"/>
      <w:jc w:val="center"/>
    </w:pPr>
    <w:rPr>
      <w:rFonts w:ascii="Arial" w:eastAsia="Times New Roman" w:hAnsi="Arial" w:cs="Century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B818EE"/>
    <w:rPr>
      <w:rFonts w:ascii="Arial" w:eastAsia="Times New Roman" w:hAnsi="Arial" w:cs="Century"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18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18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heading 9 Char,Heading 91 Char,List Paragraph1 Char,Annexure Char,Heading 911 Char,Citation List Char,Resume Title Char,List Paragraph (numbered (a)) Char,References Char,MC Paragraphe Liste Char,Normal 2 Char,heading 4 Char"/>
    <w:link w:val="ListParagraph"/>
    <w:uiPriority w:val="34"/>
    <w:qFormat/>
    <w:locked/>
    <w:rsid w:val="00B818EE"/>
    <w:rPr>
      <w:rFonts w:ascii="Calibri" w:hAnsi="Calibri"/>
      <w:lang w:val="en-GB"/>
    </w:rPr>
  </w:style>
  <w:style w:type="paragraph" w:styleId="ListParagraph">
    <w:name w:val="List Paragraph"/>
    <w:aliases w:val="heading 9,Heading 91,List Paragraph1,Annexure,Heading 911,Citation List,Resume Title,List Paragraph (numbered (a)),References,MC Paragraphe Liste,Normal 2,heading 4,Report Para,Heading 41,Heading 411,Graphic,normal,Paragraph,Bullet List"/>
    <w:basedOn w:val="Normal"/>
    <w:link w:val="ListParagraphChar"/>
    <w:uiPriority w:val="34"/>
    <w:qFormat/>
    <w:rsid w:val="00B818EE"/>
    <w:pPr>
      <w:spacing w:after="160" w:line="252" w:lineRule="auto"/>
      <w:ind w:left="720"/>
      <w:contextualSpacing/>
    </w:pPr>
    <w:rPr>
      <w:rFonts w:ascii="Calibri" w:eastAsiaTheme="minorHAnsi" w:hAnsi="Calibri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boa-dfs</dc:creator>
  <cp:keywords/>
  <dc:description/>
  <cp:lastModifiedBy>boa-dfs</cp:lastModifiedBy>
  <cp:revision>3</cp:revision>
  <dcterms:created xsi:type="dcterms:W3CDTF">2018-12-10T09:11:00Z</dcterms:created>
  <dcterms:modified xsi:type="dcterms:W3CDTF">2018-12-10T09:15:00Z</dcterms:modified>
</cp:coreProperties>
</file>