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CE" w:rsidRPr="002F11C4" w:rsidRDefault="003A5ACE" w:rsidP="003A5ACE">
      <w:pPr>
        <w:pStyle w:val="ListParagraph"/>
        <w:spacing w:after="0" w:line="240" w:lineRule="auto"/>
        <w:ind w:left="0"/>
        <w:contextualSpacing/>
        <w:jc w:val="center"/>
        <w:rPr>
          <w:rFonts w:ascii="Arial" w:hAnsi="Arial" w:cs="Arial"/>
          <w:b/>
          <w:bCs/>
          <w:sz w:val="24"/>
          <w:szCs w:val="24"/>
        </w:rPr>
      </w:pPr>
      <w:r w:rsidRPr="002F11C4">
        <w:rPr>
          <w:rFonts w:ascii="Arial" w:hAnsi="Arial" w:cs="Arial"/>
          <w:b/>
          <w:bCs/>
          <w:sz w:val="24"/>
          <w:szCs w:val="24"/>
        </w:rPr>
        <w:t>GOVERNMENT OF INDIA</w:t>
      </w:r>
    </w:p>
    <w:p w:rsidR="003A5ACE" w:rsidRPr="002F11C4" w:rsidRDefault="003A5ACE" w:rsidP="003A5ACE">
      <w:pPr>
        <w:pStyle w:val="ListParagraph"/>
        <w:spacing w:after="0" w:line="240" w:lineRule="auto"/>
        <w:ind w:left="0"/>
        <w:contextualSpacing/>
        <w:jc w:val="center"/>
        <w:rPr>
          <w:rFonts w:ascii="Arial" w:hAnsi="Arial" w:cs="Arial"/>
          <w:b/>
          <w:bCs/>
          <w:sz w:val="24"/>
          <w:szCs w:val="24"/>
        </w:rPr>
      </w:pPr>
      <w:r w:rsidRPr="002F11C4">
        <w:rPr>
          <w:rFonts w:ascii="Arial" w:hAnsi="Arial" w:cs="Arial"/>
          <w:b/>
          <w:bCs/>
          <w:sz w:val="24"/>
          <w:szCs w:val="24"/>
        </w:rPr>
        <w:t>MINISTRY OF LAW &amp; JUSTICE</w:t>
      </w:r>
    </w:p>
    <w:p w:rsidR="003A5ACE" w:rsidRPr="002F11C4" w:rsidRDefault="003A5ACE" w:rsidP="003A5ACE">
      <w:pPr>
        <w:pStyle w:val="ListParagraph"/>
        <w:spacing w:after="0" w:line="240" w:lineRule="auto"/>
        <w:ind w:left="0"/>
        <w:contextualSpacing/>
        <w:jc w:val="center"/>
        <w:rPr>
          <w:rFonts w:ascii="Arial" w:hAnsi="Arial" w:cs="Arial"/>
          <w:b/>
          <w:bCs/>
          <w:sz w:val="24"/>
          <w:szCs w:val="24"/>
        </w:rPr>
      </w:pPr>
      <w:r w:rsidRPr="002F11C4">
        <w:rPr>
          <w:rFonts w:ascii="Arial" w:hAnsi="Arial" w:cs="Arial"/>
          <w:b/>
          <w:bCs/>
          <w:sz w:val="24"/>
          <w:szCs w:val="24"/>
        </w:rPr>
        <w:t>DEPARTMENT OF JUSTICE</w:t>
      </w:r>
    </w:p>
    <w:p w:rsidR="003A5ACE" w:rsidRPr="002F11C4" w:rsidRDefault="003A5ACE" w:rsidP="003A5ACE">
      <w:pPr>
        <w:pStyle w:val="ListParagraph"/>
        <w:spacing w:after="0" w:line="240" w:lineRule="auto"/>
        <w:ind w:left="0"/>
        <w:contextualSpacing/>
        <w:jc w:val="center"/>
        <w:rPr>
          <w:rFonts w:ascii="Arial" w:hAnsi="Arial" w:cs="Arial"/>
          <w:b/>
          <w:bCs/>
          <w:sz w:val="24"/>
          <w:szCs w:val="24"/>
        </w:rPr>
      </w:pPr>
    </w:p>
    <w:p w:rsidR="003A5ACE" w:rsidRPr="002F11C4" w:rsidRDefault="003A5ACE" w:rsidP="003A5ACE">
      <w:pPr>
        <w:pStyle w:val="ListParagraph"/>
        <w:spacing w:after="0" w:line="240" w:lineRule="auto"/>
        <w:ind w:left="0"/>
        <w:contextualSpacing/>
        <w:jc w:val="center"/>
        <w:rPr>
          <w:rFonts w:ascii="Arial" w:hAnsi="Arial" w:cs="Arial"/>
          <w:b/>
          <w:bCs/>
          <w:sz w:val="24"/>
          <w:szCs w:val="24"/>
        </w:rPr>
      </w:pPr>
      <w:r w:rsidRPr="002F11C4">
        <w:rPr>
          <w:rFonts w:ascii="Arial" w:hAnsi="Arial" w:cs="Arial"/>
          <w:b/>
          <w:bCs/>
          <w:sz w:val="24"/>
          <w:szCs w:val="24"/>
        </w:rPr>
        <w:t>RAJYA SABHA</w:t>
      </w:r>
    </w:p>
    <w:p w:rsidR="003A5ACE" w:rsidRPr="002F11C4" w:rsidRDefault="003A5ACE" w:rsidP="003A5ACE">
      <w:pPr>
        <w:pStyle w:val="ListParagraph"/>
        <w:spacing w:after="0" w:line="240" w:lineRule="auto"/>
        <w:ind w:left="0"/>
        <w:contextualSpacing/>
        <w:jc w:val="center"/>
        <w:rPr>
          <w:rFonts w:ascii="Arial" w:hAnsi="Arial" w:cs="Arial"/>
          <w:b/>
          <w:bCs/>
          <w:sz w:val="24"/>
          <w:szCs w:val="24"/>
        </w:rPr>
      </w:pPr>
    </w:p>
    <w:p w:rsidR="003A5ACE" w:rsidRPr="002F11C4" w:rsidRDefault="003A5ACE" w:rsidP="003A5ACE">
      <w:pPr>
        <w:pStyle w:val="ListParagraph"/>
        <w:spacing w:after="0" w:line="240" w:lineRule="auto"/>
        <w:ind w:left="0"/>
        <w:contextualSpacing/>
        <w:jc w:val="center"/>
        <w:rPr>
          <w:rFonts w:ascii="Arial" w:hAnsi="Arial" w:cs="Arial"/>
          <w:b/>
          <w:bCs/>
          <w:sz w:val="24"/>
          <w:szCs w:val="24"/>
          <w:lang w:val="en-US"/>
        </w:rPr>
      </w:pPr>
      <w:proofErr w:type="gramStart"/>
      <w:r w:rsidRPr="002F11C4">
        <w:rPr>
          <w:rFonts w:ascii="Arial" w:hAnsi="Arial" w:cs="Arial"/>
          <w:b/>
          <w:bCs/>
          <w:sz w:val="24"/>
          <w:szCs w:val="24"/>
        </w:rPr>
        <w:t>UNSTARRED QUESTION NO.</w:t>
      </w:r>
      <w:proofErr w:type="gramEnd"/>
      <w:r w:rsidRPr="002F11C4">
        <w:rPr>
          <w:rFonts w:ascii="Arial" w:hAnsi="Arial" w:cs="Arial"/>
          <w:b/>
          <w:bCs/>
          <w:sz w:val="24"/>
          <w:szCs w:val="24"/>
        </w:rPr>
        <w:t xml:space="preserve"> </w:t>
      </w:r>
      <w:r w:rsidRPr="002F11C4">
        <w:rPr>
          <w:rFonts w:ascii="Arial" w:hAnsi="Arial" w:cs="Arial"/>
          <w:b/>
          <w:sz w:val="24"/>
          <w:szCs w:val="24"/>
          <w:lang w:eastAsia="en-IN"/>
        </w:rPr>
        <w:t>1511</w:t>
      </w:r>
    </w:p>
    <w:p w:rsidR="003A5ACE" w:rsidRPr="002F11C4" w:rsidRDefault="003A5ACE" w:rsidP="003A5ACE">
      <w:pPr>
        <w:pStyle w:val="ListParagraph"/>
        <w:spacing w:after="0" w:line="240" w:lineRule="auto"/>
        <w:ind w:left="0"/>
        <w:contextualSpacing/>
        <w:jc w:val="center"/>
        <w:rPr>
          <w:rFonts w:ascii="Arial" w:hAnsi="Arial" w:cs="Arial"/>
          <w:b/>
          <w:bCs/>
          <w:sz w:val="24"/>
          <w:szCs w:val="24"/>
        </w:rPr>
      </w:pPr>
      <w:r w:rsidRPr="002F11C4">
        <w:rPr>
          <w:rFonts w:ascii="Arial" w:hAnsi="Arial" w:cs="Arial"/>
          <w:b/>
          <w:bCs/>
          <w:sz w:val="24"/>
          <w:szCs w:val="24"/>
        </w:rPr>
        <w:t xml:space="preserve">TO BE ANSWERED ON </w:t>
      </w:r>
      <w:r w:rsidRPr="002F11C4">
        <w:rPr>
          <w:rFonts w:ascii="Arial" w:hAnsi="Arial" w:cs="Arial"/>
          <w:b/>
          <w:bCs/>
          <w:sz w:val="24"/>
          <w:szCs w:val="24"/>
          <w:lang w:val="en-US"/>
        </w:rPr>
        <w:t>THURSDAY,</w:t>
      </w:r>
      <w:r w:rsidRPr="002F11C4">
        <w:rPr>
          <w:rFonts w:ascii="Arial" w:hAnsi="Arial" w:cs="Arial"/>
          <w:b/>
          <w:bCs/>
          <w:sz w:val="24"/>
          <w:szCs w:val="24"/>
        </w:rPr>
        <w:t xml:space="preserve"> THE 4</w:t>
      </w:r>
      <w:r w:rsidRPr="002F11C4">
        <w:rPr>
          <w:rFonts w:ascii="Arial" w:hAnsi="Arial" w:cs="Arial"/>
          <w:b/>
          <w:bCs/>
          <w:sz w:val="24"/>
          <w:szCs w:val="24"/>
          <w:vertAlign w:val="superscript"/>
        </w:rPr>
        <w:t>th</w:t>
      </w:r>
      <w:r w:rsidRPr="002F11C4">
        <w:rPr>
          <w:rFonts w:ascii="Arial" w:hAnsi="Arial" w:cs="Arial"/>
          <w:b/>
          <w:bCs/>
          <w:sz w:val="24"/>
          <w:szCs w:val="24"/>
        </w:rPr>
        <w:t xml:space="preserve"> JULY, 2019</w:t>
      </w:r>
    </w:p>
    <w:p w:rsidR="003A5ACE" w:rsidRPr="002F11C4" w:rsidRDefault="003A5ACE" w:rsidP="003A5ACE">
      <w:pPr>
        <w:pStyle w:val="ListParagraph"/>
        <w:spacing w:after="0" w:line="240" w:lineRule="auto"/>
        <w:ind w:left="0"/>
        <w:contextualSpacing/>
        <w:jc w:val="center"/>
        <w:rPr>
          <w:rFonts w:ascii="Arial" w:hAnsi="Arial" w:cs="Arial"/>
          <w:b/>
          <w:bCs/>
          <w:sz w:val="24"/>
          <w:szCs w:val="24"/>
        </w:rPr>
      </w:pPr>
    </w:p>
    <w:p w:rsidR="003A5ACE" w:rsidRPr="002F11C4" w:rsidRDefault="003A5ACE" w:rsidP="003A5ACE">
      <w:pPr>
        <w:autoSpaceDE w:val="0"/>
        <w:autoSpaceDN w:val="0"/>
        <w:adjustRightInd w:val="0"/>
        <w:spacing w:after="0" w:line="240" w:lineRule="auto"/>
        <w:contextualSpacing/>
        <w:jc w:val="center"/>
        <w:rPr>
          <w:rFonts w:ascii="Arial" w:eastAsia="Times New Roman" w:hAnsi="Arial" w:cs="Arial"/>
          <w:b/>
          <w:bCs/>
          <w:sz w:val="24"/>
          <w:szCs w:val="24"/>
          <w:lang w:bidi="ar-SA"/>
        </w:rPr>
      </w:pPr>
      <w:r w:rsidRPr="002F11C4">
        <w:rPr>
          <w:rFonts w:ascii="Arial" w:hAnsi="Arial" w:cs="Arial"/>
          <w:b/>
          <w:bCs/>
          <w:sz w:val="24"/>
          <w:szCs w:val="24"/>
          <w:lang w:val="en-IN" w:eastAsia="en-IN" w:bidi="ar-SA"/>
        </w:rPr>
        <w:t>Pending court cases</w:t>
      </w:r>
    </w:p>
    <w:p w:rsidR="003A5ACE" w:rsidRPr="002F11C4" w:rsidRDefault="003A5ACE" w:rsidP="003A5ACE">
      <w:pPr>
        <w:tabs>
          <w:tab w:val="left" w:pos="4943"/>
        </w:tabs>
        <w:spacing w:after="0" w:line="240" w:lineRule="auto"/>
        <w:contextualSpacing/>
        <w:rPr>
          <w:rFonts w:ascii="Arial" w:eastAsia="Times New Roman" w:hAnsi="Arial" w:cs="Arial"/>
          <w:b/>
          <w:bCs/>
          <w:sz w:val="24"/>
          <w:szCs w:val="24"/>
          <w:lang w:bidi="ar-SA"/>
        </w:rPr>
      </w:pPr>
    </w:p>
    <w:p w:rsidR="003A5ACE" w:rsidRPr="002F11C4" w:rsidRDefault="003A5ACE" w:rsidP="003A5ACE">
      <w:pPr>
        <w:autoSpaceDE w:val="0"/>
        <w:autoSpaceDN w:val="0"/>
        <w:adjustRightInd w:val="0"/>
        <w:spacing w:after="0" w:line="240" w:lineRule="auto"/>
        <w:contextualSpacing/>
        <w:rPr>
          <w:rFonts w:ascii="Arial" w:hAnsi="Arial" w:cs="Arial"/>
          <w:b/>
          <w:bCs/>
          <w:sz w:val="24"/>
          <w:szCs w:val="24"/>
        </w:rPr>
      </w:pPr>
      <w:r w:rsidRPr="002F11C4">
        <w:rPr>
          <w:rFonts w:ascii="Arial" w:hAnsi="Arial" w:cs="Arial"/>
          <w:b/>
          <w:sz w:val="24"/>
          <w:szCs w:val="24"/>
          <w:lang w:val="en-IN" w:eastAsia="en-IN" w:bidi="ar-SA"/>
        </w:rPr>
        <w:t>1511. SHRI SANJAY SINGH:</w:t>
      </w:r>
    </w:p>
    <w:p w:rsidR="003A5ACE" w:rsidRPr="002F11C4" w:rsidRDefault="003A5ACE" w:rsidP="003A5ACE">
      <w:pPr>
        <w:spacing w:after="0" w:line="240" w:lineRule="auto"/>
        <w:contextualSpacing/>
        <w:rPr>
          <w:rFonts w:ascii="Arial" w:eastAsia="Times New Roman" w:hAnsi="Arial" w:cs="Arial"/>
          <w:b/>
          <w:bCs/>
          <w:sz w:val="24"/>
          <w:szCs w:val="24"/>
          <w:lang w:bidi="ar-SA"/>
        </w:rPr>
      </w:pPr>
    </w:p>
    <w:p w:rsidR="003A5ACE" w:rsidRPr="002F11C4" w:rsidRDefault="003A5ACE" w:rsidP="003A5ACE">
      <w:pPr>
        <w:spacing w:after="0" w:line="240" w:lineRule="auto"/>
        <w:contextualSpacing/>
        <w:rPr>
          <w:rFonts w:ascii="Arial" w:eastAsia="Times New Roman" w:hAnsi="Arial" w:cs="Arial"/>
          <w:b/>
          <w:bCs/>
          <w:sz w:val="24"/>
          <w:szCs w:val="24"/>
          <w:lang w:bidi="ar-SA"/>
        </w:rPr>
      </w:pPr>
      <w:r w:rsidRPr="002F11C4">
        <w:rPr>
          <w:rFonts w:ascii="Arial" w:eastAsia="Times New Roman" w:hAnsi="Arial" w:cs="Arial"/>
          <w:b/>
          <w:bCs/>
          <w:sz w:val="24"/>
          <w:szCs w:val="24"/>
          <w:lang w:bidi="ar-SA"/>
        </w:rPr>
        <w:t xml:space="preserve">Will the Minister of LAW AND JUSTICE be pleased to </w:t>
      </w:r>
      <w:proofErr w:type="gramStart"/>
      <w:r w:rsidRPr="002F11C4">
        <w:rPr>
          <w:rFonts w:ascii="Arial" w:eastAsia="Times New Roman" w:hAnsi="Arial" w:cs="Arial"/>
          <w:b/>
          <w:bCs/>
          <w:sz w:val="24"/>
          <w:szCs w:val="24"/>
          <w:lang w:bidi="ar-SA"/>
        </w:rPr>
        <w:t>state:</w:t>
      </w:r>
      <w:proofErr w:type="gramEnd"/>
    </w:p>
    <w:p w:rsidR="003A5ACE" w:rsidRPr="002F11C4" w:rsidRDefault="003A5ACE" w:rsidP="003A5ACE">
      <w:pPr>
        <w:spacing w:after="0" w:line="240" w:lineRule="auto"/>
        <w:contextualSpacing/>
        <w:rPr>
          <w:rFonts w:ascii="Arial" w:eastAsia="Times New Roman" w:hAnsi="Arial" w:cs="Arial"/>
          <w:b/>
          <w:bCs/>
          <w:sz w:val="24"/>
          <w:szCs w:val="24"/>
          <w:lang w:bidi="ar-SA"/>
        </w:rPr>
      </w:pPr>
    </w:p>
    <w:p w:rsidR="003A5ACE" w:rsidRPr="002F11C4" w:rsidRDefault="003A5ACE" w:rsidP="003A5ACE">
      <w:pPr>
        <w:tabs>
          <w:tab w:val="left" w:pos="142"/>
        </w:tabs>
        <w:autoSpaceDE w:val="0"/>
        <w:autoSpaceDN w:val="0"/>
        <w:adjustRightInd w:val="0"/>
        <w:spacing w:after="0" w:line="240" w:lineRule="auto"/>
        <w:ind w:left="426" w:hanging="426"/>
        <w:contextualSpacing/>
        <w:jc w:val="both"/>
        <w:rPr>
          <w:rFonts w:ascii="Arial" w:hAnsi="Arial" w:cs="Arial"/>
          <w:b/>
          <w:sz w:val="24"/>
          <w:szCs w:val="24"/>
          <w:lang w:val="en-IN" w:eastAsia="en-IN" w:bidi="ar-SA"/>
        </w:rPr>
      </w:pPr>
      <w:r w:rsidRPr="002F11C4">
        <w:rPr>
          <w:rFonts w:ascii="Arial" w:hAnsi="Arial" w:cs="Arial"/>
          <w:b/>
          <w:sz w:val="24"/>
          <w:szCs w:val="24"/>
          <w:lang w:val="en-IN" w:eastAsia="en-IN" w:bidi="ar-SA"/>
        </w:rPr>
        <w:t>(a) the pending court cases pertaining to heinous crimes involving senior citizens, children, women, Scheduled Castes and Scheduled Tribes till June 2019, State-wise; and</w:t>
      </w:r>
    </w:p>
    <w:p w:rsidR="003A5ACE" w:rsidRPr="002F11C4" w:rsidRDefault="003A5ACE" w:rsidP="003A5ACE">
      <w:pPr>
        <w:tabs>
          <w:tab w:val="left" w:pos="142"/>
          <w:tab w:val="center" w:pos="4464"/>
        </w:tabs>
        <w:autoSpaceDE w:val="0"/>
        <w:autoSpaceDN w:val="0"/>
        <w:adjustRightInd w:val="0"/>
        <w:spacing w:after="0" w:line="240" w:lineRule="auto"/>
        <w:ind w:left="426" w:hanging="426"/>
        <w:contextualSpacing/>
        <w:jc w:val="both"/>
        <w:rPr>
          <w:rFonts w:ascii="Arial" w:hAnsi="Arial" w:cs="Arial"/>
          <w:b/>
          <w:sz w:val="24"/>
          <w:szCs w:val="24"/>
          <w:lang w:eastAsia="en-IN"/>
        </w:rPr>
      </w:pPr>
      <w:r w:rsidRPr="002F11C4">
        <w:rPr>
          <w:rFonts w:ascii="Arial" w:hAnsi="Arial" w:cs="Arial"/>
          <w:b/>
          <w:sz w:val="24"/>
          <w:szCs w:val="24"/>
          <w:lang w:val="en-IN" w:eastAsia="en-IN" w:bidi="ar-SA"/>
        </w:rPr>
        <w:t xml:space="preserve">(b) </w:t>
      </w:r>
      <w:proofErr w:type="gramStart"/>
      <w:r w:rsidRPr="002F11C4">
        <w:rPr>
          <w:rFonts w:ascii="Arial" w:hAnsi="Arial" w:cs="Arial"/>
          <w:b/>
          <w:sz w:val="24"/>
          <w:szCs w:val="24"/>
          <w:lang w:val="en-IN" w:eastAsia="en-IN" w:bidi="ar-SA"/>
        </w:rPr>
        <w:t>the</w:t>
      </w:r>
      <w:proofErr w:type="gramEnd"/>
      <w:r w:rsidRPr="002F11C4">
        <w:rPr>
          <w:rFonts w:ascii="Arial" w:hAnsi="Arial" w:cs="Arial"/>
          <w:b/>
          <w:sz w:val="24"/>
          <w:szCs w:val="24"/>
          <w:lang w:val="en-IN" w:eastAsia="en-IN" w:bidi="ar-SA"/>
        </w:rPr>
        <w:t xml:space="preserve"> details of such cases in Fast Track Courts established for speedy trial of </w:t>
      </w:r>
      <w:proofErr w:type="spellStart"/>
      <w:r w:rsidRPr="002F11C4">
        <w:rPr>
          <w:rFonts w:ascii="Arial" w:hAnsi="Arial" w:cs="Arial"/>
          <w:b/>
          <w:sz w:val="24"/>
          <w:szCs w:val="24"/>
          <w:lang w:val="en-IN" w:eastAsia="en-IN" w:bidi="ar-SA"/>
        </w:rPr>
        <w:t>cases</w:t>
      </w:r>
      <w:proofErr w:type="spellEnd"/>
      <w:r w:rsidRPr="002F11C4">
        <w:rPr>
          <w:rFonts w:ascii="Arial" w:hAnsi="Arial" w:cs="Arial"/>
          <w:b/>
          <w:sz w:val="24"/>
          <w:szCs w:val="24"/>
          <w:lang w:val="en-IN" w:eastAsia="en-IN" w:bidi="ar-SA"/>
        </w:rPr>
        <w:t xml:space="preserve"> related to crime against women?</w:t>
      </w:r>
    </w:p>
    <w:p w:rsidR="003A5ACE" w:rsidRPr="002F11C4" w:rsidRDefault="003A5ACE" w:rsidP="003A5ACE">
      <w:pPr>
        <w:pStyle w:val="ListParagraph"/>
        <w:spacing w:after="0" w:line="240" w:lineRule="auto"/>
        <w:ind w:left="0"/>
        <w:contextualSpacing/>
        <w:jc w:val="center"/>
        <w:rPr>
          <w:rFonts w:ascii="Arial" w:hAnsi="Arial" w:cs="Arial"/>
          <w:b/>
          <w:sz w:val="24"/>
          <w:szCs w:val="24"/>
          <w:lang w:eastAsia="en-IN"/>
        </w:rPr>
      </w:pPr>
    </w:p>
    <w:p w:rsidR="003A5ACE" w:rsidRPr="002F11C4" w:rsidRDefault="003A5ACE" w:rsidP="003A5ACE">
      <w:pPr>
        <w:pStyle w:val="ListParagraph"/>
        <w:spacing w:after="0" w:line="240" w:lineRule="auto"/>
        <w:ind w:left="0"/>
        <w:contextualSpacing/>
        <w:jc w:val="center"/>
        <w:rPr>
          <w:rFonts w:ascii="Arial" w:hAnsi="Arial" w:cs="Arial"/>
          <w:b/>
          <w:bCs/>
          <w:sz w:val="24"/>
          <w:szCs w:val="24"/>
        </w:rPr>
      </w:pPr>
      <w:r w:rsidRPr="002F11C4">
        <w:rPr>
          <w:rFonts w:ascii="Arial" w:hAnsi="Arial" w:cs="Arial"/>
          <w:b/>
          <w:bCs/>
          <w:sz w:val="24"/>
          <w:szCs w:val="24"/>
        </w:rPr>
        <w:t>ANSWER</w:t>
      </w:r>
    </w:p>
    <w:p w:rsidR="003A5ACE" w:rsidRPr="002F11C4" w:rsidRDefault="003A5ACE" w:rsidP="003A5ACE">
      <w:pPr>
        <w:spacing w:after="0" w:line="240" w:lineRule="auto"/>
        <w:contextualSpacing/>
        <w:jc w:val="center"/>
        <w:rPr>
          <w:rFonts w:ascii="Arial" w:hAnsi="Arial" w:cs="Arial"/>
          <w:b/>
          <w:bCs/>
          <w:color w:val="000000"/>
          <w:sz w:val="24"/>
          <w:szCs w:val="24"/>
        </w:rPr>
      </w:pPr>
      <w:r w:rsidRPr="002F11C4">
        <w:rPr>
          <w:rFonts w:ascii="Arial" w:hAnsi="Arial" w:cs="Arial"/>
          <w:b/>
          <w:bCs/>
          <w:sz w:val="24"/>
          <w:szCs w:val="24"/>
        </w:rPr>
        <w:t>MINISTER OF LAW AND JUSTICE, COMMUNICATIONS AND ELECTRONICS &amp; INFORMATION TECHNOLOGY</w:t>
      </w:r>
    </w:p>
    <w:p w:rsidR="003A5ACE" w:rsidRPr="002F11C4" w:rsidRDefault="003A5ACE" w:rsidP="003A5ACE">
      <w:pPr>
        <w:pStyle w:val="NoSpacing"/>
        <w:tabs>
          <w:tab w:val="left" w:pos="360"/>
        </w:tabs>
        <w:contextualSpacing/>
        <w:jc w:val="center"/>
        <w:rPr>
          <w:rFonts w:ascii="Arial" w:hAnsi="Arial" w:cs="Arial"/>
          <w:b/>
          <w:bCs/>
          <w:color w:val="000000"/>
          <w:sz w:val="24"/>
          <w:szCs w:val="24"/>
        </w:rPr>
      </w:pPr>
      <w:r w:rsidRPr="002F11C4">
        <w:rPr>
          <w:rFonts w:ascii="Arial" w:hAnsi="Arial" w:cs="Arial"/>
          <w:b/>
          <w:bCs/>
          <w:color w:val="000000"/>
          <w:sz w:val="24"/>
          <w:szCs w:val="24"/>
        </w:rPr>
        <w:t>(</w:t>
      </w:r>
      <w:r w:rsidRPr="002F11C4">
        <w:rPr>
          <w:rFonts w:ascii="Arial" w:hAnsi="Arial" w:cs="Arial"/>
          <w:b/>
          <w:bCs/>
          <w:sz w:val="24"/>
          <w:szCs w:val="24"/>
        </w:rPr>
        <w:t>SHRI RAVI SHANKAR PRASAD</w:t>
      </w:r>
      <w:r w:rsidRPr="002F11C4">
        <w:rPr>
          <w:rFonts w:ascii="Arial" w:hAnsi="Arial" w:cs="Arial"/>
          <w:b/>
          <w:bCs/>
          <w:color w:val="000000"/>
          <w:sz w:val="24"/>
          <w:szCs w:val="24"/>
        </w:rPr>
        <w:t>)</w:t>
      </w:r>
    </w:p>
    <w:p w:rsidR="003A5ACE" w:rsidRPr="002F11C4" w:rsidRDefault="003A5ACE" w:rsidP="003A5ACE">
      <w:pPr>
        <w:pStyle w:val="NoSpacing"/>
        <w:tabs>
          <w:tab w:val="left" w:pos="360"/>
        </w:tabs>
        <w:contextualSpacing/>
        <w:jc w:val="center"/>
        <w:rPr>
          <w:rFonts w:ascii="Arial" w:eastAsia="Calibri" w:hAnsi="Arial" w:cs="Arial"/>
          <w:b/>
          <w:color w:val="000000"/>
          <w:sz w:val="24"/>
          <w:szCs w:val="24"/>
          <w:lang w:bidi="hi-IN"/>
        </w:rPr>
      </w:pPr>
    </w:p>
    <w:p w:rsidR="003A5ACE" w:rsidRPr="002F11C4" w:rsidRDefault="003A5ACE" w:rsidP="003A5ACE">
      <w:pPr>
        <w:pStyle w:val="NoSpacing"/>
        <w:numPr>
          <w:ilvl w:val="0"/>
          <w:numId w:val="1"/>
        </w:numPr>
        <w:suppressAutoHyphens/>
        <w:spacing w:line="360" w:lineRule="auto"/>
        <w:ind w:left="0" w:firstLine="0"/>
        <w:contextualSpacing/>
        <w:jc w:val="both"/>
        <w:rPr>
          <w:rFonts w:ascii="Arial" w:hAnsi="Arial" w:cs="Arial"/>
          <w:sz w:val="24"/>
          <w:szCs w:val="24"/>
        </w:rPr>
      </w:pPr>
      <w:r w:rsidRPr="002F11C4">
        <w:rPr>
          <w:rFonts w:ascii="Arial" w:hAnsi="Arial" w:cs="Arial"/>
          <w:sz w:val="24"/>
          <w:szCs w:val="24"/>
        </w:rPr>
        <w:t xml:space="preserve">(a) :  </w:t>
      </w:r>
      <w:r w:rsidRPr="002F11C4">
        <w:rPr>
          <w:rFonts w:ascii="Arial" w:hAnsi="Arial" w:cs="Arial"/>
          <w:color w:val="000000"/>
          <w:sz w:val="24"/>
          <w:szCs w:val="24"/>
        </w:rPr>
        <w:t xml:space="preserve">As per information available on National Judicial Data Grid (NJDG), 2,23,06,834 criminal cases </w:t>
      </w:r>
      <w:r w:rsidRPr="002F11C4">
        <w:rPr>
          <w:rFonts w:ascii="Arial" w:hAnsi="Arial" w:cs="Arial"/>
          <w:i/>
          <w:color w:val="000000"/>
          <w:sz w:val="24"/>
          <w:szCs w:val="24"/>
        </w:rPr>
        <w:t>including</w:t>
      </w:r>
      <w:r w:rsidRPr="002F11C4">
        <w:rPr>
          <w:rFonts w:ascii="Arial" w:hAnsi="Arial" w:cs="Arial"/>
          <w:color w:val="000000"/>
          <w:sz w:val="24"/>
          <w:szCs w:val="24"/>
        </w:rPr>
        <w:t xml:space="preserve"> </w:t>
      </w:r>
      <w:r w:rsidRPr="002F11C4">
        <w:rPr>
          <w:rFonts w:ascii="Arial" w:hAnsi="Arial" w:cs="Arial"/>
          <w:sz w:val="24"/>
          <w:szCs w:val="24"/>
          <w:lang w:val="en-IN" w:eastAsia="en-IN"/>
        </w:rPr>
        <w:t xml:space="preserve">cases pertaining to heinous crimes </w:t>
      </w:r>
      <w:r w:rsidRPr="00E67457">
        <w:rPr>
          <w:rFonts w:ascii="Arial" w:hAnsi="Arial" w:cs="Arial"/>
          <w:i/>
          <w:sz w:val="24"/>
          <w:szCs w:val="24"/>
          <w:lang w:val="en-IN" w:eastAsia="en-IN"/>
        </w:rPr>
        <w:t>involving</w:t>
      </w:r>
      <w:r w:rsidRPr="002F11C4">
        <w:rPr>
          <w:rFonts w:ascii="Arial" w:hAnsi="Arial" w:cs="Arial"/>
          <w:sz w:val="24"/>
          <w:szCs w:val="24"/>
          <w:lang w:val="en-IN" w:eastAsia="en-IN"/>
        </w:rPr>
        <w:t xml:space="preserve"> senior citizens, children, women, Scheduled Castes and Scheduled Tribes were pending till Jun</w:t>
      </w:r>
      <w:r>
        <w:rPr>
          <w:rFonts w:ascii="Arial" w:hAnsi="Arial" w:cs="Arial"/>
          <w:sz w:val="24"/>
          <w:szCs w:val="24"/>
          <w:lang w:val="en-IN" w:eastAsia="en-IN"/>
        </w:rPr>
        <w:t xml:space="preserve">e </w:t>
      </w:r>
      <w:r w:rsidRPr="002F11C4">
        <w:rPr>
          <w:rFonts w:ascii="Arial" w:hAnsi="Arial" w:cs="Arial"/>
          <w:sz w:val="24"/>
          <w:szCs w:val="24"/>
          <w:lang w:val="en-IN" w:eastAsia="en-IN"/>
        </w:rPr>
        <w:t xml:space="preserve">2019 </w:t>
      </w:r>
      <w:r w:rsidRPr="002F11C4">
        <w:rPr>
          <w:rFonts w:ascii="Arial" w:hAnsi="Arial" w:cs="Arial"/>
          <w:color w:val="000000"/>
          <w:sz w:val="24"/>
          <w:szCs w:val="24"/>
        </w:rPr>
        <w:t xml:space="preserve">in the District and Subordinate Courts.  Details of State-wise criminal cases pending in District and Subordinate Courts are given in a Statement at </w:t>
      </w:r>
      <w:r w:rsidRPr="002F11C4">
        <w:rPr>
          <w:rFonts w:ascii="Arial" w:hAnsi="Arial" w:cs="Arial"/>
          <w:b/>
          <w:i/>
          <w:color w:val="000000"/>
          <w:sz w:val="24"/>
          <w:szCs w:val="24"/>
        </w:rPr>
        <w:t>Annexure</w:t>
      </w:r>
      <w:r w:rsidRPr="002F11C4">
        <w:rPr>
          <w:rFonts w:ascii="Arial" w:hAnsi="Arial" w:cs="Arial"/>
          <w:color w:val="000000"/>
          <w:sz w:val="24"/>
          <w:szCs w:val="24"/>
        </w:rPr>
        <w:t xml:space="preserve">.  National Judicial Data Grid (NJDG) does not maintain data on cases </w:t>
      </w:r>
      <w:r w:rsidRPr="002F11C4">
        <w:rPr>
          <w:rFonts w:ascii="Arial" w:hAnsi="Arial" w:cs="Arial"/>
          <w:sz w:val="24"/>
          <w:szCs w:val="24"/>
          <w:lang w:val="en-IN" w:eastAsia="en-IN"/>
        </w:rPr>
        <w:t xml:space="preserve">pertaining to heinous crimes </w:t>
      </w:r>
      <w:r w:rsidRPr="00D93638">
        <w:rPr>
          <w:rFonts w:ascii="Arial" w:hAnsi="Arial" w:cs="Arial"/>
          <w:i/>
          <w:sz w:val="24"/>
          <w:szCs w:val="24"/>
          <w:lang w:val="en-IN" w:eastAsia="en-IN"/>
        </w:rPr>
        <w:t>involving</w:t>
      </w:r>
      <w:r w:rsidRPr="002F11C4">
        <w:rPr>
          <w:rFonts w:ascii="Arial" w:hAnsi="Arial" w:cs="Arial"/>
          <w:sz w:val="24"/>
          <w:szCs w:val="24"/>
          <w:lang w:val="en-IN" w:eastAsia="en-IN"/>
        </w:rPr>
        <w:t xml:space="preserve"> senior citizens, children, women, Scheduled Castes and Scheduled Tribes separately.</w:t>
      </w:r>
    </w:p>
    <w:p w:rsidR="003A5ACE" w:rsidRPr="002F11C4" w:rsidRDefault="003A5ACE" w:rsidP="003A5ACE">
      <w:pPr>
        <w:pStyle w:val="NoSpacing"/>
        <w:contextualSpacing/>
        <w:jc w:val="both"/>
        <w:rPr>
          <w:rFonts w:ascii="Arial" w:hAnsi="Arial" w:cs="Arial"/>
          <w:b/>
          <w:sz w:val="24"/>
          <w:szCs w:val="24"/>
        </w:rPr>
      </w:pPr>
    </w:p>
    <w:p w:rsidR="003A5ACE" w:rsidRPr="002F11C4" w:rsidRDefault="003A5ACE" w:rsidP="003A5ACE">
      <w:pPr>
        <w:pStyle w:val="NoSpacing"/>
        <w:spacing w:line="360" w:lineRule="auto"/>
        <w:contextualSpacing/>
        <w:jc w:val="both"/>
        <w:rPr>
          <w:rFonts w:ascii="Arial" w:hAnsi="Arial" w:cs="Arial"/>
          <w:b/>
          <w:sz w:val="24"/>
          <w:szCs w:val="24"/>
        </w:rPr>
      </w:pPr>
      <w:r w:rsidRPr="002F11C4">
        <w:rPr>
          <w:rFonts w:ascii="Arial" w:hAnsi="Arial" w:cs="Arial"/>
          <w:sz w:val="24"/>
          <w:szCs w:val="24"/>
        </w:rPr>
        <w:t xml:space="preserve">(b) : Setting up of subordinate courts, including Fast Track Courts (FTCs) for speedy trial of </w:t>
      </w:r>
      <w:proofErr w:type="spellStart"/>
      <w:r w:rsidRPr="002F11C4">
        <w:rPr>
          <w:rFonts w:ascii="Arial" w:hAnsi="Arial" w:cs="Arial"/>
          <w:sz w:val="24"/>
          <w:szCs w:val="24"/>
        </w:rPr>
        <w:t>cases</w:t>
      </w:r>
      <w:proofErr w:type="spellEnd"/>
      <w:r w:rsidRPr="002F11C4">
        <w:rPr>
          <w:rFonts w:ascii="Arial" w:hAnsi="Arial" w:cs="Arial"/>
          <w:sz w:val="24"/>
          <w:szCs w:val="24"/>
        </w:rPr>
        <w:t xml:space="preserve"> related to crime against women, lies within the domain of the State Governments, which set up such Courts as per their need and resources, in consultation with the concerned High Courts.  </w:t>
      </w:r>
      <w:r w:rsidRPr="002F11C4">
        <w:rPr>
          <w:rFonts w:ascii="Arial" w:hAnsi="Arial" w:cs="Arial"/>
          <w:sz w:val="24"/>
          <w:szCs w:val="24"/>
          <w:shd w:val="clear" w:color="auto" w:fill="FFFFFF"/>
        </w:rPr>
        <w:t xml:space="preserve">Government of India has enacted the ‘The Criminal Law (Amendment) Act, 2018 which has, </w:t>
      </w:r>
      <w:r w:rsidRPr="002F11C4">
        <w:rPr>
          <w:rFonts w:ascii="Arial" w:hAnsi="Arial" w:cs="Arial"/>
          <w:i/>
          <w:iCs/>
          <w:sz w:val="24"/>
          <w:szCs w:val="24"/>
          <w:shd w:val="clear" w:color="auto" w:fill="FFFFFF"/>
        </w:rPr>
        <w:t>inter-alia</w:t>
      </w:r>
      <w:r w:rsidRPr="002F11C4">
        <w:rPr>
          <w:rFonts w:ascii="Arial" w:hAnsi="Arial" w:cs="Arial"/>
          <w:sz w:val="24"/>
          <w:szCs w:val="24"/>
          <w:shd w:val="clear" w:color="auto" w:fill="FFFFFF"/>
        </w:rPr>
        <w:t xml:space="preserve">, effected amendments in the Indian Penal Code, Criminal Procedure Code, The Indian </w:t>
      </w:r>
      <w:r w:rsidRPr="002F11C4">
        <w:rPr>
          <w:rFonts w:ascii="Arial" w:hAnsi="Arial" w:cs="Arial"/>
          <w:sz w:val="24"/>
          <w:szCs w:val="24"/>
          <w:shd w:val="clear" w:color="auto" w:fill="FFFFFF"/>
        </w:rPr>
        <w:lastRenderedPageBreak/>
        <w:t>Evidence Act and The Protection of Children from Sexual Offences (POCSO) Act, and has brought in stringent provisions for expeditious trial and disposal of cases exclusively pertaining to sexual offences against women and children.</w:t>
      </w:r>
      <w:r w:rsidRPr="002F11C4">
        <w:rPr>
          <w:rFonts w:ascii="Arial" w:hAnsi="Arial" w:cs="Arial"/>
          <w:color w:val="000000"/>
          <w:sz w:val="24"/>
          <w:szCs w:val="24"/>
        </w:rPr>
        <w:t xml:space="preserve">  </w:t>
      </w:r>
      <w:r w:rsidRPr="002F11C4">
        <w:rPr>
          <w:rFonts w:ascii="Arial" w:hAnsi="Arial" w:cs="Arial"/>
          <w:sz w:val="24"/>
          <w:szCs w:val="24"/>
          <w:shd w:val="clear" w:color="auto" w:fill="FFFFFF"/>
        </w:rPr>
        <w:t>Further, the Union Government had submitted a Memorandum to the 14</w:t>
      </w:r>
      <w:r w:rsidRPr="002F11C4">
        <w:rPr>
          <w:rFonts w:ascii="Arial" w:hAnsi="Arial" w:cs="Arial"/>
          <w:sz w:val="24"/>
          <w:szCs w:val="24"/>
          <w:shd w:val="clear" w:color="auto" w:fill="FFFFFF"/>
          <w:vertAlign w:val="superscript"/>
        </w:rPr>
        <w:t>th</w:t>
      </w:r>
      <w:r w:rsidRPr="002F11C4">
        <w:rPr>
          <w:rFonts w:ascii="Arial" w:hAnsi="Arial" w:cs="Arial"/>
          <w:sz w:val="24"/>
          <w:szCs w:val="24"/>
          <w:shd w:val="clear" w:color="auto" w:fill="FFFFFF"/>
        </w:rPr>
        <w:t xml:space="preserve"> Finance Commission for strengthening of the judicial system in states at an estimated expenditure of Rs.9749.00 </w:t>
      </w:r>
      <w:proofErr w:type="spellStart"/>
      <w:r w:rsidRPr="002F11C4">
        <w:rPr>
          <w:rFonts w:ascii="Arial" w:hAnsi="Arial" w:cs="Arial"/>
          <w:sz w:val="24"/>
          <w:szCs w:val="24"/>
          <w:shd w:val="clear" w:color="auto" w:fill="FFFFFF"/>
        </w:rPr>
        <w:t>crore</w:t>
      </w:r>
      <w:proofErr w:type="spellEnd"/>
      <w:r w:rsidRPr="002F11C4">
        <w:rPr>
          <w:rFonts w:ascii="Arial" w:hAnsi="Arial" w:cs="Arial"/>
          <w:sz w:val="24"/>
          <w:szCs w:val="24"/>
          <w:shd w:val="clear" w:color="auto" w:fill="FFFFFF"/>
        </w:rPr>
        <w:t xml:space="preserve">, which, </w:t>
      </w:r>
      <w:r w:rsidRPr="002F11C4">
        <w:rPr>
          <w:rFonts w:ascii="Arial" w:hAnsi="Arial" w:cs="Arial"/>
          <w:i/>
          <w:iCs/>
          <w:sz w:val="24"/>
          <w:szCs w:val="24"/>
          <w:shd w:val="clear" w:color="auto" w:fill="FFFFFF"/>
        </w:rPr>
        <w:t>inter-alia</w:t>
      </w:r>
      <w:r w:rsidRPr="002F11C4">
        <w:rPr>
          <w:rFonts w:ascii="Arial" w:hAnsi="Arial" w:cs="Arial"/>
          <w:sz w:val="24"/>
          <w:szCs w:val="24"/>
          <w:shd w:val="clear" w:color="auto" w:fill="FFFFFF"/>
        </w:rPr>
        <w:t xml:space="preserve">, included establishment of 1,800 Fast Track Courts for cases of heinous crimes </w:t>
      </w:r>
      <w:r w:rsidRPr="002F11C4">
        <w:rPr>
          <w:rFonts w:ascii="Arial" w:hAnsi="Arial" w:cs="Arial"/>
          <w:i/>
          <w:sz w:val="24"/>
          <w:szCs w:val="24"/>
          <w:shd w:val="clear" w:color="auto" w:fill="FFFFFF"/>
        </w:rPr>
        <w:t>involving</w:t>
      </w:r>
      <w:r w:rsidRPr="002F11C4">
        <w:rPr>
          <w:rFonts w:ascii="Arial" w:hAnsi="Arial" w:cs="Arial"/>
          <w:sz w:val="24"/>
          <w:szCs w:val="24"/>
          <w:shd w:val="clear" w:color="auto" w:fill="FFFFFF"/>
        </w:rPr>
        <w:t xml:space="preserve"> senior citizens, women, children, including rape cases </w:t>
      </w:r>
      <w:r w:rsidRPr="002F11C4">
        <w:rPr>
          <w:rFonts w:ascii="Arial" w:hAnsi="Arial" w:cs="Arial"/>
          <w:i/>
          <w:sz w:val="24"/>
          <w:szCs w:val="24"/>
          <w:shd w:val="clear" w:color="auto" w:fill="FFFFFF"/>
        </w:rPr>
        <w:t>etc</w:t>
      </w:r>
      <w:r>
        <w:rPr>
          <w:rFonts w:ascii="Arial" w:hAnsi="Arial" w:cs="Arial"/>
          <w:sz w:val="24"/>
          <w:szCs w:val="24"/>
          <w:shd w:val="clear" w:color="auto" w:fill="FFFFFF"/>
        </w:rPr>
        <w:t>.</w:t>
      </w:r>
      <w:r w:rsidRPr="002F11C4">
        <w:rPr>
          <w:rFonts w:ascii="Arial" w:hAnsi="Arial" w:cs="Arial"/>
          <w:sz w:val="24"/>
          <w:szCs w:val="24"/>
          <w:shd w:val="clear" w:color="auto" w:fill="FFFFFF"/>
        </w:rPr>
        <w:t xml:space="preserve"> at an estimated expenditure of Rs.4,144.00 </w:t>
      </w:r>
      <w:proofErr w:type="spellStart"/>
      <w:r w:rsidRPr="002F11C4">
        <w:rPr>
          <w:rFonts w:ascii="Arial" w:hAnsi="Arial" w:cs="Arial"/>
          <w:sz w:val="24"/>
          <w:szCs w:val="24"/>
          <w:shd w:val="clear" w:color="auto" w:fill="FFFFFF"/>
        </w:rPr>
        <w:t>crore</w:t>
      </w:r>
      <w:proofErr w:type="spellEnd"/>
      <w:r w:rsidRPr="002F11C4">
        <w:rPr>
          <w:rFonts w:ascii="Arial" w:hAnsi="Arial" w:cs="Arial"/>
          <w:sz w:val="24"/>
          <w:szCs w:val="24"/>
          <w:shd w:val="clear" w:color="auto" w:fill="FFFFFF"/>
        </w:rPr>
        <w:t xml:space="preserve">.  The Commission endorsed the proposal of the Government and urged the State Governments to use the additional fiscal space provided in the form of enhanced tax devolution (from 32% to 42%) to meet funding requirements for setting up the fast track courts.  A total number of 581 Fast Track Courts have been functioning in the country and </w:t>
      </w:r>
      <w:r w:rsidRPr="002F11C4">
        <w:rPr>
          <w:rFonts w:ascii="Arial" w:hAnsi="Arial" w:cs="Arial"/>
          <w:bCs/>
          <w:sz w:val="24"/>
          <w:szCs w:val="24"/>
        </w:rPr>
        <w:t>6</w:t>
      </w:r>
      <w:proofErr w:type="gramStart"/>
      <w:r w:rsidRPr="002F11C4">
        <w:rPr>
          <w:rFonts w:ascii="Arial" w:hAnsi="Arial" w:cs="Arial"/>
          <w:bCs/>
          <w:sz w:val="24"/>
          <w:szCs w:val="24"/>
        </w:rPr>
        <w:t>,29,785</w:t>
      </w:r>
      <w:proofErr w:type="gramEnd"/>
      <w:r w:rsidRPr="002F11C4">
        <w:rPr>
          <w:rFonts w:ascii="Arial" w:hAnsi="Arial" w:cs="Arial"/>
          <w:bCs/>
          <w:sz w:val="24"/>
          <w:szCs w:val="24"/>
        </w:rPr>
        <w:t xml:space="preserve"> cases were pending in these Fast Track Courts as on 31.03.2019.</w:t>
      </w:r>
    </w:p>
    <w:p w:rsidR="003A5ACE" w:rsidRPr="002F11C4" w:rsidRDefault="003A5ACE" w:rsidP="003A5ACE">
      <w:pPr>
        <w:pStyle w:val="NoSpacing"/>
        <w:numPr>
          <w:ilvl w:val="0"/>
          <w:numId w:val="1"/>
        </w:numPr>
        <w:suppressAutoHyphens/>
        <w:ind w:left="0" w:firstLine="0"/>
        <w:contextualSpacing/>
        <w:jc w:val="center"/>
        <w:rPr>
          <w:rFonts w:ascii="Arial" w:hAnsi="Arial" w:cs="Arial"/>
          <w:b/>
          <w:sz w:val="24"/>
          <w:szCs w:val="24"/>
        </w:rPr>
      </w:pPr>
      <w:r w:rsidRPr="002F11C4">
        <w:rPr>
          <w:rFonts w:ascii="Arial" w:hAnsi="Arial" w:cs="Arial"/>
          <w:b/>
          <w:sz w:val="24"/>
          <w:szCs w:val="24"/>
        </w:rPr>
        <w:t>************</w:t>
      </w:r>
    </w:p>
    <w:p w:rsidR="003A5ACE" w:rsidRPr="002F11C4" w:rsidRDefault="003A5ACE" w:rsidP="003A5ACE">
      <w:pPr>
        <w:pStyle w:val="NoSpacing"/>
        <w:suppressAutoHyphens/>
        <w:contextualSpacing/>
        <w:jc w:val="right"/>
        <w:rPr>
          <w:rFonts w:ascii="Arial" w:hAnsi="Arial" w:cs="Arial"/>
          <w:b/>
          <w:sz w:val="24"/>
          <w:szCs w:val="24"/>
          <w:u w:val="single"/>
        </w:rPr>
      </w:pPr>
      <w:r w:rsidRPr="002F11C4">
        <w:rPr>
          <w:rFonts w:ascii="Arial" w:hAnsi="Arial" w:cs="Arial"/>
          <w:b/>
          <w:sz w:val="24"/>
          <w:szCs w:val="24"/>
        </w:rPr>
        <w:br w:type="page"/>
      </w:r>
      <w:r>
        <w:rPr>
          <w:rFonts w:ascii="Arial" w:hAnsi="Arial" w:cs="Arial"/>
          <w:b/>
          <w:sz w:val="24"/>
          <w:szCs w:val="24"/>
          <w:u w:val="single"/>
        </w:rPr>
        <w:lastRenderedPageBreak/>
        <w:t>Annexure</w:t>
      </w:r>
    </w:p>
    <w:p w:rsidR="003A5ACE" w:rsidRPr="002F11C4" w:rsidRDefault="003A5ACE" w:rsidP="003A5ACE">
      <w:pPr>
        <w:pStyle w:val="NoSpacing"/>
        <w:suppressAutoHyphens/>
        <w:contextualSpacing/>
        <w:jc w:val="both"/>
        <w:rPr>
          <w:rFonts w:ascii="Arial" w:hAnsi="Arial" w:cs="Arial"/>
          <w:b/>
          <w:sz w:val="24"/>
          <w:szCs w:val="24"/>
        </w:rPr>
      </w:pPr>
      <w:r w:rsidRPr="002F11C4">
        <w:rPr>
          <w:rFonts w:ascii="Arial" w:hAnsi="Arial" w:cs="Arial"/>
          <w:b/>
          <w:sz w:val="24"/>
          <w:szCs w:val="24"/>
        </w:rPr>
        <w:t xml:space="preserve">Statement referred to </w:t>
      </w:r>
      <w:proofErr w:type="spellStart"/>
      <w:r w:rsidRPr="002F11C4">
        <w:rPr>
          <w:rFonts w:ascii="Arial" w:hAnsi="Arial" w:cs="Arial"/>
          <w:b/>
          <w:sz w:val="24"/>
          <w:szCs w:val="24"/>
        </w:rPr>
        <w:t>Rajya</w:t>
      </w:r>
      <w:proofErr w:type="spellEnd"/>
      <w:r w:rsidRPr="002F11C4">
        <w:rPr>
          <w:rFonts w:ascii="Arial" w:hAnsi="Arial" w:cs="Arial"/>
          <w:b/>
          <w:sz w:val="24"/>
          <w:szCs w:val="24"/>
        </w:rPr>
        <w:t xml:space="preserve"> </w:t>
      </w:r>
      <w:proofErr w:type="spellStart"/>
      <w:r w:rsidRPr="002F11C4">
        <w:rPr>
          <w:rFonts w:ascii="Arial" w:hAnsi="Arial" w:cs="Arial"/>
          <w:b/>
          <w:sz w:val="24"/>
          <w:szCs w:val="24"/>
        </w:rPr>
        <w:t>Sabha</w:t>
      </w:r>
      <w:proofErr w:type="spellEnd"/>
      <w:r w:rsidRPr="002F11C4">
        <w:rPr>
          <w:rFonts w:ascii="Arial" w:hAnsi="Arial" w:cs="Arial"/>
          <w:b/>
          <w:sz w:val="24"/>
          <w:szCs w:val="24"/>
        </w:rPr>
        <w:t xml:space="preserve"> </w:t>
      </w:r>
      <w:proofErr w:type="spellStart"/>
      <w:r w:rsidRPr="002F11C4">
        <w:rPr>
          <w:rFonts w:ascii="Arial" w:hAnsi="Arial" w:cs="Arial"/>
          <w:b/>
          <w:sz w:val="24"/>
          <w:szCs w:val="24"/>
        </w:rPr>
        <w:t>Unstarred</w:t>
      </w:r>
      <w:proofErr w:type="spellEnd"/>
      <w:r w:rsidRPr="002F11C4">
        <w:rPr>
          <w:rFonts w:ascii="Arial" w:hAnsi="Arial" w:cs="Arial"/>
          <w:b/>
          <w:sz w:val="24"/>
          <w:szCs w:val="24"/>
        </w:rPr>
        <w:t xml:space="preserve"> Question No.15</w:t>
      </w:r>
      <w:r>
        <w:rPr>
          <w:rFonts w:ascii="Arial" w:hAnsi="Arial" w:cs="Arial"/>
          <w:b/>
          <w:sz w:val="24"/>
          <w:szCs w:val="24"/>
        </w:rPr>
        <w:t>11</w:t>
      </w:r>
      <w:r w:rsidRPr="002F11C4">
        <w:rPr>
          <w:rFonts w:ascii="Arial" w:hAnsi="Arial" w:cs="Arial"/>
          <w:b/>
          <w:sz w:val="24"/>
          <w:szCs w:val="24"/>
        </w:rPr>
        <w:t xml:space="preserve"> for reply on 04.07.2019 regarding </w:t>
      </w:r>
      <w:r>
        <w:rPr>
          <w:rFonts w:ascii="Arial" w:hAnsi="Arial" w:cs="Arial"/>
          <w:b/>
          <w:bCs/>
          <w:sz w:val="24"/>
          <w:szCs w:val="24"/>
          <w:lang w:val="en-IN" w:eastAsia="en-IN"/>
        </w:rPr>
        <w:t>Pending court cases</w:t>
      </w:r>
    </w:p>
    <w:p w:rsidR="003A5ACE" w:rsidRPr="002F11C4" w:rsidRDefault="003A5ACE" w:rsidP="003A5ACE">
      <w:pPr>
        <w:pStyle w:val="ListParagraph"/>
        <w:spacing w:after="0" w:line="240" w:lineRule="auto"/>
        <w:ind w:left="0"/>
        <w:contextualSpacing/>
        <w:jc w:val="center"/>
        <w:rPr>
          <w:rFonts w:ascii="Arial" w:hAnsi="Arial" w:cs="Arial"/>
          <w:b/>
          <w:bCs/>
          <w:sz w:val="24"/>
          <w:szCs w:val="24"/>
          <w:lang w:val="en-US"/>
        </w:rPr>
      </w:pPr>
      <w:r w:rsidRPr="002F11C4">
        <w:rPr>
          <w:rFonts w:ascii="Arial" w:hAnsi="Arial" w:cs="Arial"/>
          <w:b/>
          <w:bCs/>
          <w:sz w:val="24"/>
          <w:szCs w:val="24"/>
          <w:lang w:val="en-US"/>
        </w:rPr>
        <w:t>Details of Criminal Cases pending District and Subordinate Courts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3569"/>
        <w:gridCol w:w="4394"/>
      </w:tblGrid>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b/>
                <w:bCs/>
                <w:sz w:val="24"/>
                <w:szCs w:val="24"/>
                <w:lang w:val="en-US"/>
              </w:rPr>
            </w:pPr>
            <w:r w:rsidRPr="002F11C4">
              <w:rPr>
                <w:rFonts w:ascii="Arial" w:hAnsi="Arial" w:cs="Arial"/>
                <w:b/>
                <w:bCs/>
                <w:sz w:val="24"/>
                <w:szCs w:val="24"/>
                <w:lang w:val="en-US"/>
              </w:rPr>
              <w:t>Sr. No.</w:t>
            </w:r>
          </w:p>
        </w:tc>
        <w:tc>
          <w:tcPr>
            <w:tcW w:w="3569" w:type="dxa"/>
          </w:tcPr>
          <w:p w:rsidR="003A5ACE" w:rsidRPr="002F11C4" w:rsidRDefault="003A5ACE" w:rsidP="006A6A9E">
            <w:pPr>
              <w:pStyle w:val="ListParagraph"/>
              <w:spacing w:after="0" w:line="240" w:lineRule="auto"/>
              <w:ind w:left="0"/>
              <w:contextualSpacing/>
              <w:jc w:val="center"/>
              <w:rPr>
                <w:rFonts w:ascii="Arial" w:hAnsi="Arial" w:cs="Arial"/>
                <w:b/>
                <w:bCs/>
                <w:sz w:val="24"/>
                <w:szCs w:val="24"/>
                <w:lang w:val="en-US"/>
              </w:rPr>
            </w:pPr>
            <w:r w:rsidRPr="002F11C4">
              <w:rPr>
                <w:rFonts w:ascii="Arial" w:hAnsi="Arial" w:cs="Arial"/>
                <w:b/>
                <w:bCs/>
                <w:sz w:val="24"/>
                <w:szCs w:val="24"/>
                <w:lang w:val="en-US"/>
              </w:rPr>
              <w:t>Name of the State / UT</w:t>
            </w:r>
          </w:p>
        </w:tc>
        <w:tc>
          <w:tcPr>
            <w:tcW w:w="4394" w:type="dxa"/>
          </w:tcPr>
          <w:p w:rsidR="003A5ACE" w:rsidRPr="002F11C4" w:rsidRDefault="003A5ACE" w:rsidP="006A6A9E">
            <w:pPr>
              <w:pStyle w:val="ListParagraph"/>
              <w:spacing w:after="0" w:line="240" w:lineRule="auto"/>
              <w:ind w:left="0"/>
              <w:contextualSpacing/>
              <w:jc w:val="center"/>
              <w:rPr>
                <w:rFonts w:ascii="Arial" w:hAnsi="Arial" w:cs="Arial"/>
                <w:b/>
                <w:bCs/>
                <w:sz w:val="24"/>
                <w:szCs w:val="24"/>
                <w:lang w:val="en-US"/>
              </w:rPr>
            </w:pPr>
            <w:r w:rsidRPr="002F11C4">
              <w:rPr>
                <w:rFonts w:ascii="Arial" w:hAnsi="Arial" w:cs="Arial"/>
                <w:b/>
                <w:bCs/>
                <w:sz w:val="24"/>
                <w:szCs w:val="24"/>
                <w:lang w:val="en-US"/>
              </w:rPr>
              <w:t>Criminal Cases</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1.</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Andhra Pradesh</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lang w:val="en-US"/>
              </w:rPr>
            </w:pPr>
            <w:r w:rsidRPr="002F11C4">
              <w:rPr>
                <w:rFonts w:ascii="Arial" w:hAnsi="Arial" w:cs="Arial"/>
                <w:sz w:val="24"/>
                <w:szCs w:val="24"/>
                <w:shd w:val="clear" w:color="auto" w:fill="FFFFFF"/>
              </w:rPr>
              <w:t>2,45,813</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2.</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Assam</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lang w:val="en-US"/>
              </w:rPr>
            </w:pPr>
            <w:r w:rsidRPr="002F11C4">
              <w:rPr>
                <w:rFonts w:ascii="Arial" w:hAnsi="Arial" w:cs="Arial"/>
                <w:sz w:val="24"/>
                <w:szCs w:val="24"/>
                <w:shd w:val="clear" w:color="auto" w:fill="FFFFFF"/>
              </w:rPr>
              <w:t>2,27,391</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3.</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Bihar</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lang w:val="en-US"/>
              </w:rPr>
            </w:pPr>
            <w:r w:rsidRPr="002F11C4">
              <w:rPr>
                <w:rFonts w:ascii="Arial" w:hAnsi="Arial" w:cs="Arial"/>
                <w:sz w:val="24"/>
                <w:szCs w:val="24"/>
                <w:shd w:val="clear" w:color="auto" w:fill="FFFFFF"/>
              </w:rPr>
              <w:t>23,32,370</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4.</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Chandigarh</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lang w:val="en-US"/>
              </w:rPr>
            </w:pPr>
            <w:r w:rsidRPr="002F11C4">
              <w:rPr>
                <w:rFonts w:ascii="Arial" w:hAnsi="Arial" w:cs="Arial"/>
                <w:sz w:val="24"/>
                <w:szCs w:val="24"/>
                <w:shd w:val="clear" w:color="auto" w:fill="FFFFFF"/>
              </w:rPr>
              <w:t>29,007</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5.</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Chhattisgarh</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lang w:val="en-US"/>
              </w:rPr>
            </w:pPr>
            <w:r w:rsidRPr="002F11C4">
              <w:rPr>
                <w:rFonts w:ascii="Arial" w:hAnsi="Arial" w:cs="Arial"/>
                <w:sz w:val="24"/>
                <w:szCs w:val="24"/>
                <w:shd w:val="clear" w:color="auto" w:fill="FFFFFF"/>
              </w:rPr>
              <w:t>2,09,232</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6.</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Delhi</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lang w:val="en-US"/>
              </w:rPr>
            </w:pPr>
            <w:r w:rsidRPr="002F11C4">
              <w:rPr>
                <w:rFonts w:ascii="Arial" w:hAnsi="Arial" w:cs="Arial"/>
                <w:sz w:val="24"/>
                <w:szCs w:val="24"/>
                <w:shd w:val="clear" w:color="auto" w:fill="FFFFFF"/>
              </w:rPr>
              <w:t>6,00,094</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7.</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Diu and Daman</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1,079</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8.</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Dadra and Nagar Haveli</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1,695</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9.</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Goa</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12,719</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10.</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Gujarat</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12,52,187</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11.</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Haryana</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5,10,486</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12.</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Himachal Pradesh</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1,60,623</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13.</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Jammu and Kashmir</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97,385</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14.</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Jharkhand</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3,01,603</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15.</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Karnataka</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8,83,424</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16.</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Kerala</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8,71,303</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17.</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Madhya Pradesh</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11,10,106</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18.</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Maharashtra</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24,95,925</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19.</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Manipur</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4,233</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20.</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Meghalaya</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5,366</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21.</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Mizoram</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1,265</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22.</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proofErr w:type="spellStart"/>
            <w:r w:rsidRPr="002F11C4">
              <w:rPr>
                <w:rFonts w:ascii="Arial" w:hAnsi="Arial" w:cs="Arial"/>
                <w:sz w:val="24"/>
                <w:szCs w:val="24"/>
                <w:lang w:val="en-US"/>
              </w:rPr>
              <w:t>Odisha</w:t>
            </w:r>
            <w:proofErr w:type="spellEnd"/>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9,27,643</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23.</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Punjab</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3,56,205</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24.</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Rajasthan</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11,43,359</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25.</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Sikkim</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786</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26.</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proofErr w:type="spellStart"/>
            <w:r w:rsidRPr="002F11C4">
              <w:rPr>
                <w:rFonts w:ascii="Arial" w:hAnsi="Arial" w:cs="Arial"/>
                <w:sz w:val="24"/>
                <w:szCs w:val="24"/>
                <w:lang w:val="en-US"/>
              </w:rPr>
              <w:t>Tamilnadu</w:t>
            </w:r>
            <w:proofErr w:type="spellEnd"/>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5,02,366</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27.</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proofErr w:type="spellStart"/>
            <w:r w:rsidRPr="002F11C4">
              <w:rPr>
                <w:rFonts w:ascii="Arial" w:hAnsi="Arial" w:cs="Arial"/>
                <w:sz w:val="24"/>
                <w:szCs w:val="24"/>
                <w:lang w:val="en-US"/>
              </w:rPr>
              <w:t>Telengana</w:t>
            </w:r>
            <w:proofErr w:type="spellEnd"/>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2,99,303</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28.</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Tripura</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15,700</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29.</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Uttar Pradesh</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57,48,441</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30.</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proofErr w:type="spellStart"/>
            <w:r w:rsidRPr="002F11C4">
              <w:rPr>
                <w:rFonts w:ascii="Arial" w:hAnsi="Arial" w:cs="Arial"/>
                <w:sz w:val="24"/>
                <w:szCs w:val="24"/>
                <w:lang w:val="en-US"/>
              </w:rPr>
              <w:t>Uttarakhand</w:t>
            </w:r>
            <w:proofErr w:type="spellEnd"/>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1,92,991</w:t>
            </w:r>
          </w:p>
        </w:tc>
      </w:tr>
      <w:tr w:rsidR="003A5ACE" w:rsidRPr="002F11C4" w:rsidTr="006A6A9E">
        <w:tc>
          <w:tcPr>
            <w:tcW w:w="934" w:type="dxa"/>
          </w:tcPr>
          <w:p w:rsidR="003A5ACE" w:rsidRPr="002F11C4" w:rsidRDefault="003A5ACE" w:rsidP="006A6A9E">
            <w:pPr>
              <w:pStyle w:val="ListParagraph"/>
              <w:spacing w:after="0" w:line="240" w:lineRule="auto"/>
              <w:ind w:left="0"/>
              <w:contextualSpacing/>
              <w:jc w:val="center"/>
              <w:rPr>
                <w:rFonts w:ascii="Arial" w:hAnsi="Arial" w:cs="Arial"/>
                <w:sz w:val="24"/>
                <w:szCs w:val="24"/>
                <w:lang w:val="en-US"/>
              </w:rPr>
            </w:pPr>
            <w:r w:rsidRPr="002F11C4">
              <w:rPr>
                <w:rFonts w:ascii="Arial" w:hAnsi="Arial" w:cs="Arial"/>
                <w:sz w:val="24"/>
                <w:szCs w:val="24"/>
                <w:lang w:val="en-US"/>
              </w:rPr>
              <w:t>31.</w:t>
            </w:r>
          </w:p>
        </w:tc>
        <w:tc>
          <w:tcPr>
            <w:tcW w:w="3569" w:type="dxa"/>
          </w:tcPr>
          <w:p w:rsidR="003A5ACE" w:rsidRPr="002F11C4" w:rsidRDefault="003A5ACE" w:rsidP="006A6A9E">
            <w:pPr>
              <w:pStyle w:val="ListParagraph"/>
              <w:spacing w:after="0" w:line="240" w:lineRule="auto"/>
              <w:ind w:left="0"/>
              <w:contextualSpacing/>
              <w:rPr>
                <w:rFonts w:ascii="Arial" w:hAnsi="Arial" w:cs="Arial"/>
                <w:sz w:val="24"/>
                <w:szCs w:val="24"/>
                <w:lang w:val="en-US"/>
              </w:rPr>
            </w:pPr>
            <w:r w:rsidRPr="002F11C4">
              <w:rPr>
                <w:rFonts w:ascii="Arial" w:hAnsi="Arial" w:cs="Arial"/>
                <w:sz w:val="24"/>
                <w:szCs w:val="24"/>
                <w:lang w:val="en-US"/>
              </w:rPr>
              <w:t>West Bengal</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sz w:val="24"/>
                <w:szCs w:val="24"/>
                <w:shd w:val="clear" w:color="auto" w:fill="FFFFFF"/>
              </w:rPr>
            </w:pPr>
            <w:r w:rsidRPr="002F11C4">
              <w:rPr>
                <w:rFonts w:ascii="Arial" w:hAnsi="Arial" w:cs="Arial"/>
                <w:sz w:val="24"/>
                <w:szCs w:val="24"/>
                <w:shd w:val="clear" w:color="auto" w:fill="FFFFFF"/>
              </w:rPr>
              <w:t>17,66,734</w:t>
            </w:r>
          </w:p>
        </w:tc>
      </w:tr>
      <w:tr w:rsidR="003A5ACE" w:rsidRPr="002F11C4" w:rsidTr="006A6A9E">
        <w:tc>
          <w:tcPr>
            <w:tcW w:w="4503" w:type="dxa"/>
            <w:gridSpan w:val="2"/>
          </w:tcPr>
          <w:p w:rsidR="003A5ACE" w:rsidRPr="002F11C4" w:rsidRDefault="003A5ACE" w:rsidP="006A6A9E">
            <w:pPr>
              <w:pStyle w:val="ListParagraph"/>
              <w:spacing w:after="0" w:line="240" w:lineRule="auto"/>
              <w:ind w:left="0"/>
              <w:contextualSpacing/>
              <w:rPr>
                <w:rFonts w:ascii="Arial" w:hAnsi="Arial" w:cs="Arial"/>
                <w:b/>
                <w:bCs/>
                <w:sz w:val="24"/>
                <w:szCs w:val="24"/>
                <w:lang w:val="en-US"/>
              </w:rPr>
            </w:pPr>
            <w:r w:rsidRPr="002F11C4">
              <w:rPr>
                <w:rFonts w:ascii="Arial" w:hAnsi="Arial" w:cs="Arial"/>
                <w:b/>
                <w:bCs/>
                <w:sz w:val="24"/>
                <w:szCs w:val="24"/>
                <w:lang w:val="en-US"/>
              </w:rPr>
              <w:t>Total</w:t>
            </w:r>
          </w:p>
        </w:tc>
        <w:tc>
          <w:tcPr>
            <w:tcW w:w="4394" w:type="dxa"/>
          </w:tcPr>
          <w:p w:rsidR="003A5ACE" w:rsidRPr="002F11C4" w:rsidRDefault="003A5ACE" w:rsidP="006A6A9E">
            <w:pPr>
              <w:pStyle w:val="ListParagraph"/>
              <w:spacing w:after="0" w:line="240" w:lineRule="auto"/>
              <w:ind w:left="0"/>
              <w:contextualSpacing/>
              <w:jc w:val="right"/>
              <w:rPr>
                <w:rFonts w:ascii="Arial" w:hAnsi="Arial" w:cs="Arial"/>
                <w:b/>
                <w:bCs/>
                <w:sz w:val="24"/>
                <w:szCs w:val="24"/>
                <w:shd w:val="clear" w:color="auto" w:fill="FFFFFF"/>
              </w:rPr>
            </w:pPr>
            <w:r w:rsidRPr="002F11C4">
              <w:rPr>
                <w:rFonts w:ascii="Arial" w:hAnsi="Arial" w:cs="Arial"/>
                <w:b/>
                <w:bCs/>
                <w:sz w:val="24"/>
                <w:szCs w:val="24"/>
                <w:shd w:val="clear" w:color="auto" w:fill="FFFFFF"/>
              </w:rPr>
              <w:fldChar w:fldCharType="begin"/>
            </w:r>
            <w:r w:rsidRPr="002F11C4">
              <w:rPr>
                <w:rFonts w:ascii="Arial" w:hAnsi="Arial" w:cs="Arial"/>
                <w:b/>
                <w:bCs/>
                <w:sz w:val="24"/>
                <w:szCs w:val="24"/>
                <w:shd w:val="clear" w:color="auto" w:fill="FFFFFF"/>
              </w:rPr>
              <w:instrText xml:space="preserve"> =SUM(ABOVE) </w:instrText>
            </w:r>
            <w:r w:rsidRPr="002F11C4">
              <w:rPr>
                <w:rFonts w:ascii="Arial" w:hAnsi="Arial" w:cs="Arial"/>
                <w:b/>
                <w:bCs/>
                <w:sz w:val="24"/>
                <w:szCs w:val="24"/>
                <w:shd w:val="clear" w:color="auto" w:fill="FFFFFF"/>
              </w:rPr>
              <w:fldChar w:fldCharType="separate"/>
            </w:r>
            <w:r w:rsidRPr="002F11C4">
              <w:rPr>
                <w:rFonts w:ascii="Arial" w:hAnsi="Arial" w:cs="Arial"/>
                <w:b/>
                <w:bCs/>
                <w:noProof/>
                <w:sz w:val="24"/>
                <w:szCs w:val="24"/>
                <w:shd w:val="clear" w:color="auto" w:fill="FFFFFF"/>
              </w:rPr>
              <w:t>2,23,06,834</w:t>
            </w:r>
            <w:r w:rsidRPr="002F11C4">
              <w:rPr>
                <w:rFonts w:ascii="Arial" w:hAnsi="Arial" w:cs="Arial"/>
                <w:b/>
                <w:bCs/>
                <w:sz w:val="24"/>
                <w:szCs w:val="24"/>
                <w:shd w:val="clear" w:color="auto" w:fill="FFFFFF"/>
              </w:rPr>
              <w:fldChar w:fldCharType="end"/>
            </w:r>
          </w:p>
        </w:tc>
      </w:tr>
    </w:tbl>
    <w:p w:rsidR="003A5ACE" w:rsidRPr="002F11C4" w:rsidRDefault="003A5ACE" w:rsidP="003A5ACE">
      <w:pPr>
        <w:pStyle w:val="ListParagraph"/>
        <w:spacing w:after="0" w:line="240" w:lineRule="auto"/>
        <w:ind w:left="0"/>
        <w:contextualSpacing/>
        <w:jc w:val="both"/>
        <w:rPr>
          <w:rFonts w:ascii="Arial" w:hAnsi="Arial" w:cs="Arial"/>
          <w:sz w:val="24"/>
          <w:szCs w:val="24"/>
          <w:lang w:val="en-US"/>
        </w:rPr>
      </w:pPr>
      <w:r w:rsidRPr="002F11C4">
        <w:rPr>
          <w:rFonts w:ascii="Arial" w:hAnsi="Arial" w:cs="Arial"/>
          <w:sz w:val="24"/>
          <w:szCs w:val="24"/>
          <w:lang w:val="en-US"/>
        </w:rPr>
        <w:t xml:space="preserve">Source: National Judicial Data Grid uploaded by District and Subordinate Courts. Data in respect of Andaman &amp; Nicobar Island, Lakshadweep, </w:t>
      </w:r>
      <w:proofErr w:type="spellStart"/>
      <w:r w:rsidRPr="002F11C4">
        <w:rPr>
          <w:rFonts w:ascii="Arial" w:hAnsi="Arial" w:cs="Arial"/>
          <w:sz w:val="24"/>
          <w:szCs w:val="24"/>
          <w:lang w:val="en-US"/>
        </w:rPr>
        <w:t>Puducherry</w:t>
      </w:r>
      <w:proofErr w:type="spellEnd"/>
      <w:r w:rsidRPr="002F11C4">
        <w:rPr>
          <w:rFonts w:ascii="Arial" w:hAnsi="Arial" w:cs="Arial"/>
          <w:sz w:val="24"/>
          <w:szCs w:val="24"/>
          <w:lang w:val="en-US"/>
        </w:rPr>
        <w:t>, Arunachal Pradesh and Nagaland are not available on the web-portal of National Judicial Data Grid.</w:t>
      </w:r>
    </w:p>
    <w:p w:rsidR="003A5ACE" w:rsidRPr="002F11C4" w:rsidRDefault="003A5ACE" w:rsidP="003A5ACE">
      <w:pPr>
        <w:pStyle w:val="ListParagraph"/>
        <w:spacing w:after="0" w:line="240" w:lineRule="auto"/>
        <w:ind w:left="0"/>
        <w:contextualSpacing/>
        <w:jc w:val="center"/>
        <w:rPr>
          <w:rFonts w:ascii="Arial" w:hAnsi="Arial" w:cs="Arial"/>
          <w:b/>
          <w:sz w:val="24"/>
          <w:szCs w:val="24"/>
          <w:lang w:val="en-US"/>
        </w:rPr>
      </w:pPr>
      <w:r w:rsidRPr="002F11C4">
        <w:rPr>
          <w:rFonts w:ascii="Arial" w:hAnsi="Arial" w:cs="Arial"/>
          <w:b/>
          <w:sz w:val="24"/>
          <w:szCs w:val="24"/>
          <w:lang w:val="en-US"/>
        </w:rPr>
        <w:t>*******************</w:t>
      </w:r>
    </w:p>
    <w:p w:rsidR="003A5ACE" w:rsidRPr="002F11C4" w:rsidRDefault="003A5ACE" w:rsidP="003A5ACE">
      <w:pPr>
        <w:pStyle w:val="NoSpacing"/>
        <w:suppressAutoHyphens/>
        <w:contextualSpacing/>
        <w:jc w:val="center"/>
        <w:rPr>
          <w:rFonts w:ascii="Arial" w:hAnsi="Arial" w:cs="Arial"/>
          <w:b/>
          <w:sz w:val="24"/>
          <w:szCs w:val="24"/>
        </w:rPr>
      </w:pPr>
    </w:p>
    <w:p w:rsidR="003A5ACE" w:rsidRPr="002F11C4" w:rsidRDefault="003A5ACE" w:rsidP="003A5ACE">
      <w:pPr>
        <w:pStyle w:val="NoSpacing"/>
        <w:suppressAutoHyphens/>
        <w:contextualSpacing/>
        <w:jc w:val="center"/>
        <w:rPr>
          <w:rFonts w:ascii="Arial" w:hAnsi="Arial" w:cs="Arial"/>
          <w:b/>
          <w:sz w:val="24"/>
          <w:szCs w:val="24"/>
        </w:rPr>
      </w:pPr>
    </w:p>
    <w:p w:rsidR="003A5ACE" w:rsidRPr="002F11C4" w:rsidRDefault="003A5ACE" w:rsidP="003A5ACE">
      <w:pPr>
        <w:pStyle w:val="NoSpacing"/>
        <w:suppressAutoHyphens/>
        <w:contextualSpacing/>
        <w:jc w:val="center"/>
        <w:rPr>
          <w:rFonts w:ascii="Arial" w:hAnsi="Arial" w:cs="Arial"/>
          <w:b/>
          <w:sz w:val="24"/>
          <w:szCs w:val="24"/>
        </w:rPr>
      </w:pPr>
    </w:p>
    <w:p w:rsidR="003A5ACE" w:rsidRPr="002F11C4" w:rsidRDefault="003A5ACE" w:rsidP="003A5ACE">
      <w:pPr>
        <w:pStyle w:val="NoSpacing"/>
        <w:suppressAutoHyphens/>
        <w:contextualSpacing/>
        <w:jc w:val="center"/>
        <w:rPr>
          <w:rFonts w:ascii="Arial" w:hAnsi="Arial" w:cs="Arial"/>
          <w:b/>
          <w:sz w:val="24"/>
          <w:szCs w:val="24"/>
        </w:rPr>
        <w:sectPr w:rsidR="003A5ACE" w:rsidRPr="002F11C4">
          <w:pgSz w:w="12240" w:h="15840"/>
          <w:pgMar w:top="990" w:right="1440" w:bottom="1530" w:left="1872" w:header="720" w:footer="720" w:gutter="0"/>
          <w:cols w:space="720"/>
        </w:sectPr>
      </w:pPr>
    </w:p>
    <w:p w:rsidR="003A5ACE" w:rsidRPr="002F11C4" w:rsidRDefault="003A5ACE" w:rsidP="003A5ACE">
      <w:pPr>
        <w:spacing w:after="0" w:line="240" w:lineRule="auto"/>
        <w:contextualSpacing/>
        <w:jc w:val="right"/>
        <w:rPr>
          <w:rFonts w:ascii="Arial" w:hAnsi="Arial" w:cs="Arial"/>
          <w:b/>
          <w:sz w:val="24"/>
          <w:szCs w:val="24"/>
          <w:u w:val="single"/>
        </w:rPr>
        <w:sectPr w:rsidR="003A5ACE" w:rsidRPr="002F11C4" w:rsidSect="00F37D44">
          <w:pgSz w:w="12240" w:h="15840"/>
          <w:pgMar w:top="1584" w:right="1440" w:bottom="1440" w:left="2880" w:header="720" w:footer="720" w:gutter="0"/>
          <w:cols w:space="720"/>
          <w:docGrid w:linePitch="360"/>
        </w:sectPr>
      </w:pPr>
    </w:p>
    <w:p w:rsidR="003A5ACE" w:rsidRPr="002F11C4" w:rsidRDefault="003A5ACE" w:rsidP="003A5ACE">
      <w:pPr>
        <w:spacing w:after="0" w:line="240" w:lineRule="auto"/>
        <w:contextualSpacing/>
        <w:jc w:val="right"/>
        <w:rPr>
          <w:rFonts w:ascii="Arial" w:hAnsi="Arial" w:cs="Arial"/>
          <w:b/>
          <w:sz w:val="24"/>
          <w:szCs w:val="24"/>
        </w:rPr>
      </w:pPr>
    </w:p>
    <w:p w:rsidR="006B162D" w:rsidRDefault="006B162D"/>
    <w:sectPr w:rsidR="006B162D" w:rsidSect="000B0D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5ACE"/>
    <w:rsid w:val="003A5ACE"/>
    <w:rsid w:val="006B162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Heading 41,Report Para,Heading 411,Heading 4111,Graphic,List Paragraph1,normal,Paragraph,First level bullet,heading 4,Resume Title,Bullet List,FooterText,numbered,Paragraphe de liste1,Bulletr List Paragraph,列出段落,列出段落1,リスト段落1"/>
    <w:basedOn w:val="Normal"/>
    <w:link w:val="ListParagraphChar"/>
    <w:uiPriority w:val="34"/>
    <w:qFormat/>
    <w:rsid w:val="003A5ACE"/>
    <w:pPr>
      <w:ind w:left="720"/>
    </w:pPr>
    <w:rPr>
      <w:rFonts w:ascii="Calibri" w:eastAsia="Calibri" w:hAnsi="Calibri" w:cs="Times New Roman"/>
      <w:sz w:val="20"/>
      <w:szCs w:val="22"/>
      <w:lang w:val="en-IN" w:bidi="ar-SA"/>
    </w:rPr>
  </w:style>
  <w:style w:type="character" w:customStyle="1" w:styleId="ListParagraphChar">
    <w:name w:val="List Paragraph Char"/>
    <w:aliases w:val="Citation List Char,Heading 41 Char,Report Para Char,Heading 411 Char,Heading 4111 Char,Graphic Char,List Paragraph1 Char,normal Char,Paragraph Char,First level bullet Char,heading 4 Char,Resume Title Char,Bullet List Char,列出段落 Char"/>
    <w:link w:val="ListParagraph"/>
    <w:uiPriority w:val="34"/>
    <w:rsid w:val="003A5ACE"/>
    <w:rPr>
      <w:rFonts w:ascii="Calibri" w:eastAsia="Calibri" w:hAnsi="Calibri" w:cs="Times New Roman"/>
      <w:sz w:val="20"/>
      <w:szCs w:val="22"/>
      <w:lang w:val="en-IN" w:bidi="ar-SA"/>
    </w:rPr>
  </w:style>
  <w:style w:type="paragraph" w:styleId="NoSpacing">
    <w:name w:val="No Spacing"/>
    <w:link w:val="NoSpacingChar"/>
    <w:uiPriority w:val="1"/>
    <w:qFormat/>
    <w:rsid w:val="003A5ACE"/>
    <w:pPr>
      <w:spacing w:after="0" w:line="240" w:lineRule="auto"/>
    </w:pPr>
    <w:rPr>
      <w:rFonts w:ascii="Calibri" w:eastAsia="Times New Roman" w:hAnsi="Calibri" w:cs="Times New Roman"/>
      <w:szCs w:val="22"/>
      <w:lang w:bidi="ar-SA"/>
    </w:rPr>
  </w:style>
  <w:style w:type="character" w:customStyle="1" w:styleId="NoSpacingChar">
    <w:name w:val="No Spacing Char"/>
    <w:basedOn w:val="DefaultParagraphFont"/>
    <w:link w:val="NoSpacing"/>
    <w:uiPriority w:val="1"/>
    <w:rsid w:val="003A5ACE"/>
    <w:rPr>
      <w:rFonts w:ascii="Calibri" w:eastAsia="Times New Roman" w:hAnsi="Calibri" w:cs="Times New Roman"/>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611</Words>
  <Characters>3486</Characters>
  <Application>Microsoft Office Word</Application>
  <DocSecurity>0</DocSecurity>
  <Lines>29</Lines>
  <Paragraphs>8</Paragraphs>
  <ScaleCrop>false</ScaleCrop>
  <Company>Hewlett-Packard Company</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2019-07-03T09:02:00Z</dcterms:created>
  <dcterms:modified xsi:type="dcterms:W3CDTF">2019-07-03T09:02:00Z</dcterms:modified>
</cp:coreProperties>
</file>